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5E2" w:rsidRPr="000275E2" w:rsidRDefault="000275E2" w:rsidP="000275E2">
      <w:pPr>
        <w:spacing w:after="0" w:line="240" w:lineRule="auto"/>
        <w:jc w:val="center"/>
        <w:rPr>
          <w:b/>
          <w:sz w:val="24"/>
          <w:szCs w:val="24"/>
        </w:rPr>
      </w:pPr>
    </w:p>
    <w:tbl>
      <w:tblPr>
        <w:tblW w:w="12665" w:type="dxa"/>
        <w:jc w:val="center"/>
        <w:tblCellMar>
          <w:left w:w="70" w:type="dxa"/>
          <w:right w:w="70" w:type="dxa"/>
        </w:tblCellMar>
        <w:tblLook w:val="04A0" w:firstRow="1" w:lastRow="0" w:firstColumn="1" w:lastColumn="0" w:noHBand="0" w:noVBand="1"/>
      </w:tblPr>
      <w:tblGrid>
        <w:gridCol w:w="1198"/>
        <w:gridCol w:w="2120"/>
        <w:gridCol w:w="2675"/>
        <w:gridCol w:w="2253"/>
        <w:gridCol w:w="3090"/>
        <w:gridCol w:w="709"/>
        <w:gridCol w:w="620"/>
      </w:tblGrid>
      <w:tr w:rsidR="00A7496B" w:rsidRPr="000823C7" w:rsidTr="00A7496B">
        <w:trPr>
          <w:cantSplit/>
          <w:trHeight w:val="576"/>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1A6118" w:rsidRPr="00557C14" w:rsidRDefault="001A6118" w:rsidP="00A7496B">
            <w:pPr>
              <w:spacing w:after="0" w:line="240" w:lineRule="auto"/>
              <w:jc w:val="center"/>
              <w:rPr>
                <w:rFonts w:ascii="Calibri" w:eastAsia="Times New Roman" w:hAnsi="Calibri" w:cs="Calibri"/>
                <w:b/>
                <w:bCs/>
                <w:color w:val="FFFFFF" w:themeColor="background1"/>
                <w:lang w:eastAsia="es-CL"/>
              </w:rPr>
            </w:pPr>
            <w:r w:rsidRPr="00557C14">
              <w:rPr>
                <w:rFonts w:ascii="Calibri" w:eastAsia="Times New Roman" w:hAnsi="Calibri" w:cs="Calibri"/>
                <w:b/>
                <w:bCs/>
                <w:color w:val="FFFFFF" w:themeColor="background1"/>
                <w:lang w:eastAsia="es-CL"/>
              </w:rPr>
              <w:t>P</w:t>
            </w:r>
            <w:r w:rsidR="00A7496B">
              <w:rPr>
                <w:rFonts w:ascii="Calibri" w:eastAsia="Times New Roman" w:hAnsi="Calibri" w:cs="Calibri"/>
                <w:b/>
                <w:bCs/>
                <w:color w:val="FFFFFF" w:themeColor="background1"/>
                <w:lang w:eastAsia="es-CL"/>
              </w:rPr>
              <w:t>erspectiva</w:t>
            </w:r>
          </w:p>
        </w:tc>
        <w:tc>
          <w:tcPr>
            <w:tcW w:w="2127" w:type="dxa"/>
            <w:tcBorders>
              <w:top w:val="single" w:sz="4" w:space="0" w:color="auto"/>
              <w:left w:val="nil"/>
              <w:bottom w:val="single" w:sz="4" w:space="0" w:color="auto"/>
              <w:right w:val="single" w:sz="4" w:space="0" w:color="auto"/>
            </w:tcBorders>
            <w:shd w:val="clear" w:color="auto" w:fill="00B050"/>
            <w:vAlign w:val="center"/>
            <w:hideMark/>
          </w:tcPr>
          <w:p w:rsidR="001A6118" w:rsidRPr="00557C14" w:rsidRDefault="001A6118" w:rsidP="00D21B64">
            <w:pPr>
              <w:spacing w:after="0" w:line="240" w:lineRule="auto"/>
              <w:jc w:val="center"/>
              <w:rPr>
                <w:rFonts w:ascii="Calibri" w:eastAsia="Times New Roman" w:hAnsi="Calibri" w:cs="Calibri"/>
                <w:b/>
                <w:bCs/>
                <w:color w:val="FFFFFF" w:themeColor="background1"/>
                <w:lang w:eastAsia="es-CL"/>
              </w:rPr>
            </w:pPr>
            <w:r w:rsidRPr="00557C14">
              <w:rPr>
                <w:rFonts w:ascii="Calibri" w:eastAsia="Times New Roman" w:hAnsi="Calibri" w:cs="Calibri"/>
                <w:b/>
                <w:bCs/>
                <w:color w:val="FFFFFF" w:themeColor="background1"/>
                <w:lang w:eastAsia="es-CL"/>
              </w:rPr>
              <w:t>Principales líneas de acción</w:t>
            </w:r>
          </w:p>
        </w:tc>
        <w:tc>
          <w:tcPr>
            <w:tcW w:w="2693" w:type="dxa"/>
            <w:tcBorders>
              <w:top w:val="single" w:sz="4" w:space="0" w:color="auto"/>
              <w:left w:val="nil"/>
              <w:bottom w:val="single" w:sz="4" w:space="0" w:color="auto"/>
              <w:right w:val="single" w:sz="4" w:space="0" w:color="auto"/>
            </w:tcBorders>
            <w:shd w:val="clear" w:color="auto" w:fill="00B050"/>
            <w:vAlign w:val="center"/>
            <w:hideMark/>
          </w:tcPr>
          <w:p w:rsidR="001A6118" w:rsidRPr="00557C14" w:rsidRDefault="001A6118" w:rsidP="00D21B64">
            <w:pPr>
              <w:spacing w:after="0" w:line="240" w:lineRule="auto"/>
              <w:jc w:val="center"/>
              <w:rPr>
                <w:rFonts w:ascii="Calibri" w:eastAsia="Times New Roman" w:hAnsi="Calibri" w:cs="Calibri"/>
                <w:b/>
                <w:bCs/>
                <w:color w:val="FFFFFF" w:themeColor="background1"/>
                <w:lang w:eastAsia="es-CL"/>
              </w:rPr>
            </w:pPr>
            <w:r w:rsidRPr="00557C14">
              <w:rPr>
                <w:rFonts w:ascii="Calibri" w:eastAsia="Times New Roman" w:hAnsi="Calibri" w:cs="Calibri"/>
                <w:b/>
                <w:bCs/>
                <w:color w:val="FFFFFF" w:themeColor="background1"/>
                <w:lang w:eastAsia="es-CL"/>
              </w:rPr>
              <w:t>Objetivo Estratégico</w:t>
            </w:r>
          </w:p>
        </w:tc>
        <w:tc>
          <w:tcPr>
            <w:tcW w:w="2268" w:type="dxa"/>
            <w:tcBorders>
              <w:top w:val="single" w:sz="4" w:space="0" w:color="auto"/>
              <w:left w:val="nil"/>
              <w:bottom w:val="single" w:sz="4" w:space="0" w:color="auto"/>
              <w:right w:val="single" w:sz="4" w:space="0" w:color="auto"/>
            </w:tcBorders>
            <w:shd w:val="clear" w:color="auto" w:fill="00B050"/>
            <w:vAlign w:val="center"/>
            <w:hideMark/>
          </w:tcPr>
          <w:p w:rsidR="001A6118" w:rsidRPr="00557C14" w:rsidRDefault="001A6118" w:rsidP="00967A56">
            <w:pPr>
              <w:spacing w:after="0" w:line="240" w:lineRule="auto"/>
              <w:jc w:val="center"/>
              <w:rPr>
                <w:rFonts w:ascii="Calibri" w:eastAsia="Times New Roman" w:hAnsi="Calibri" w:cs="Calibri"/>
                <w:b/>
                <w:bCs/>
                <w:color w:val="FFFFFF" w:themeColor="background1"/>
                <w:lang w:eastAsia="es-CL"/>
              </w:rPr>
            </w:pPr>
            <w:r>
              <w:rPr>
                <w:rFonts w:ascii="Calibri" w:eastAsia="Times New Roman" w:hAnsi="Calibri" w:cs="Calibri"/>
                <w:b/>
                <w:bCs/>
                <w:color w:val="FFFFFF" w:themeColor="background1"/>
                <w:lang w:eastAsia="es-CL"/>
              </w:rPr>
              <w:t>Objetivo Específico 2020</w:t>
            </w:r>
            <w:r w:rsidRPr="00557C14">
              <w:rPr>
                <w:rFonts w:ascii="Calibri" w:eastAsia="Times New Roman" w:hAnsi="Calibri" w:cs="Calibri"/>
                <w:b/>
                <w:bCs/>
                <w:color w:val="FFFFFF" w:themeColor="background1"/>
                <w:lang w:eastAsia="es-CL"/>
              </w:rPr>
              <w:t xml:space="preserve"> (Táctico)</w:t>
            </w:r>
          </w:p>
        </w:tc>
        <w:tc>
          <w:tcPr>
            <w:tcW w:w="3118" w:type="dxa"/>
            <w:tcBorders>
              <w:top w:val="single" w:sz="4" w:space="0" w:color="auto"/>
              <w:left w:val="nil"/>
              <w:bottom w:val="single" w:sz="4" w:space="0" w:color="auto"/>
              <w:right w:val="single" w:sz="4" w:space="0" w:color="auto"/>
            </w:tcBorders>
            <w:shd w:val="clear" w:color="auto" w:fill="00B050"/>
            <w:vAlign w:val="center"/>
            <w:hideMark/>
          </w:tcPr>
          <w:p w:rsidR="001A6118" w:rsidRPr="00557C14" w:rsidRDefault="001A6118" w:rsidP="00D21B64">
            <w:pPr>
              <w:spacing w:after="0" w:line="240" w:lineRule="auto"/>
              <w:jc w:val="center"/>
              <w:rPr>
                <w:rFonts w:ascii="Calibri" w:eastAsia="Times New Roman" w:hAnsi="Calibri" w:cs="Calibri"/>
                <w:b/>
                <w:bCs/>
                <w:color w:val="FFFFFF" w:themeColor="background1"/>
                <w:lang w:eastAsia="es-CL"/>
              </w:rPr>
            </w:pPr>
            <w:r w:rsidRPr="00557C14">
              <w:rPr>
                <w:rFonts w:ascii="Calibri" w:eastAsia="Times New Roman" w:hAnsi="Calibri" w:cs="Calibri"/>
                <w:b/>
                <w:bCs/>
                <w:color w:val="FFFFFF" w:themeColor="background1"/>
                <w:lang w:eastAsia="es-CL"/>
              </w:rPr>
              <w:t xml:space="preserve">Indicador </w:t>
            </w:r>
          </w:p>
        </w:tc>
        <w:tc>
          <w:tcPr>
            <w:tcW w:w="709" w:type="dxa"/>
            <w:tcBorders>
              <w:top w:val="single" w:sz="4" w:space="0" w:color="auto"/>
              <w:left w:val="nil"/>
              <w:bottom w:val="single" w:sz="4" w:space="0" w:color="auto"/>
              <w:right w:val="single" w:sz="4" w:space="0" w:color="auto"/>
            </w:tcBorders>
            <w:shd w:val="clear" w:color="auto" w:fill="00B050"/>
            <w:vAlign w:val="center"/>
            <w:hideMark/>
          </w:tcPr>
          <w:p w:rsidR="001A6118" w:rsidRPr="00557C14" w:rsidRDefault="001A6118" w:rsidP="00967A56">
            <w:pPr>
              <w:spacing w:after="0" w:line="240" w:lineRule="auto"/>
              <w:jc w:val="center"/>
              <w:rPr>
                <w:rFonts w:ascii="Calibri" w:eastAsia="Times New Roman" w:hAnsi="Calibri" w:cs="Calibri"/>
                <w:b/>
                <w:bCs/>
                <w:color w:val="FFFFFF" w:themeColor="background1"/>
                <w:lang w:eastAsia="es-CL"/>
              </w:rPr>
            </w:pPr>
            <w:r>
              <w:rPr>
                <w:rFonts w:ascii="Calibri" w:eastAsia="Times New Roman" w:hAnsi="Calibri" w:cs="Calibri"/>
                <w:b/>
                <w:bCs/>
                <w:color w:val="FFFFFF" w:themeColor="background1"/>
                <w:lang w:eastAsia="es-CL"/>
              </w:rPr>
              <w:t>Meta 2020</w:t>
            </w:r>
          </w:p>
        </w:tc>
        <w:tc>
          <w:tcPr>
            <w:tcW w:w="621" w:type="dxa"/>
            <w:tcBorders>
              <w:top w:val="single" w:sz="4" w:space="0" w:color="auto"/>
              <w:left w:val="single" w:sz="4" w:space="0" w:color="auto"/>
              <w:bottom w:val="single" w:sz="4" w:space="0" w:color="auto"/>
              <w:right w:val="single" w:sz="4" w:space="0" w:color="auto"/>
            </w:tcBorders>
            <w:shd w:val="clear" w:color="auto" w:fill="00B050"/>
            <w:vAlign w:val="center"/>
            <w:hideMark/>
          </w:tcPr>
          <w:p w:rsidR="001A6118" w:rsidRPr="00557C14" w:rsidRDefault="00625163" w:rsidP="00625163">
            <w:pPr>
              <w:spacing w:after="0" w:line="240" w:lineRule="auto"/>
              <w:jc w:val="center"/>
              <w:rPr>
                <w:rFonts w:ascii="Calibri" w:eastAsia="Times New Roman" w:hAnsi="Calibri" w:cs="Calibri"/>
                <w:b/>
                <w:bCs/>
                <w:color w:val="FFFFFF" w:themeColor="background1"/>
                <w:lang w:eastAsia="es-CL"/>
              </w:rPr>
            </w:pPr>
            <w:r>
              <w:rPr>
                <w:rFonts w:ascii="Calibri" w:eastAsia="Times New Roman" w:hAnsi="Calibri" w:cs="Calibri"/>
                <w:b/>
                <w:bCs/>
                <w:color w:val="FFFFFF" w:themeColor="background1"/>
                <w:lang w:eastAsia="es-CL"/>
              </w:rPr>
              <w:t>Nota</w:t>
            </w:r>
          </w:p>
        </w:tc>
      </w:tr>
      <w:tr w:rsidR="00A7496B" w:rsidRPr="00F139B4" w:rsidTr="00A7496B">
        <w:trPr>
          <w:cantSplit/>
          <w:trHeight w:val="201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118" w:rsidRPr="00F139B4" w:rsidRDefault="001A6118" w:rsidP="00A7496B">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R</w:t>
            </w:r>
            <w:r w:rsidR="00A7496B">
              <w:rPr>
                <w:rFonts w:ascii="Calibri" w:eastAsia="Times New Roman" w:hAnsi="Calibri" w:cs="Calibri"/>
                <w:lang w:eastAsia="es-CL"/>
              </w:rPr>
              <w:t>esultados</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A6118" w:rsidRDefault="001A6118" w:rsidP="00930FDA">
            <w:pPr>
              <w:spacing w:after="0" w:line="240" w:lineRule="auto"/>
              <w:rPr>
                <w:rFonts w:ascii="Calibri" w:eastAsia="Times New Roman" w:hAnsi="Calibri" w:cs="Calibri"/>
                <w:lang w:eastAsia="es-CL"/>
              </w:rPr>
            </w:pPr>
            <w:r w:rsidRPr="00F139B4">
              <w:rPr>
                <w:rFonts w:ascii="Calibri" w:eastAsia="Times New Roman" w:hAnsi="Calibri" w:cs="Calibri"/>
                <w:lang w:eastAsia="es-CL"/>
              </w:rPr>
              <w:t>Fortalecimiento de</w:t>
            </w:r>
            <w:r w:rsidR="00930FDA">
              <w:rPr>
                <w:rFonts w:ascii="Calibri" w:eastAsia="Times New Roman" w:hAnsi="Calibri" w:cs="Calibri"/>
                <w:lang w:eastAsia="es-CL"/>
              </w:rPr>
              <w:t>l</w:t>
            </w:r>
            <w:r w:rsidRPr="00F139B4">
              <w:rPr>
                <w:rFonts w:ascii="Calibri" w:eastAsia="Times New Roman" w:hAnsi="Calibri" w:cs="Calibri"/>
                <w:lang w:eastAsia="es-CL"/>
              </w:rPr>
              <w:t xml:space="preserve"> patrimonio fito y zoosanitario</w:t>
            </w:r>
            <w:r w:rsidR="00930FDA">
              <w:rPr>
                <w:rFonts w:ascii="Calibri" w:eastAsia="Times New Roman" w:hAnsi="Calibri" w:cs="Calibri"/>
                <w:lang w:eastAsia="es-CL"/>
              </w:rPr>
              <w:t xml:space="preserve"> del país para apoyar el desarrollo sustentable y competitivo de sector silvoagropecuario nacional.</w:t>
            </w:r>
          </w:p>
          <w:p w:rsidR="00B5616E" w:rsidRPr="00F139B4" w:rsidRDefault="00B5616E" w:rsidP="00930FDA">
            <w:pPr>
              <w:spacing w:after="0" w:line="240" w:lineRule="auto"/>
              <w:rPr>
                <w:rFonts w:ascii="Calibri" w:eastAsia="Times New Roman" w:hAnsi="Calibri" w:cs="Calibri"/>
                <w:lang w:eastAsia="es-CL"/>
              </w:rPr>
            </w:pP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A6118" w:rsidRPr="00F139B4"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Conservar y proteger los recursos naturales renovables de competencia del SAG, conforme a las normas vigentes.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Recuperar el potencial productivo de los suelos agropecuarios degradados y mantener los niveles de mejoramiento alcanzados.</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 xml:space="preserve">Porcentaje de superficie bonificada con una o más prácticas del Sistema de Incentivos para la Sustentabilidad Agroambiental de los Suelos Agropecuarios en el año t respecto a la superficie estimada a bonificar en el año 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100%</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1</w:t>
            </w:r>
          </w:p>
          <w:p w:rsidR="001A6118" w:rsidRPr="00F139B4" w:rsidRDefault="001A6118" w:rsidP="00D21B64">
            <w:pPr>
              <w:spacing w:after="0" w:line="240" w:lineRule="auto"/>
              <w:jc w:val="center"/>
              <w:rPr>
                <w:rFonts w:ascii="Calibri" w:eastAsia="Times New Roman" w:hAnsi="Calibri" w:cs="Calibri"/>
                <w:lang w:eastAsia="es-CL"/>
              </w:rPr>
            </w:pPr>
          </w:p>
        </w:tc>
      </w:tr>
      <w:tr w:rsidR="00A7496B" w:rsidRPr="00F139B4" w:rsidTr="00A7496B">
        <w:trPr>
          <w:cantSplit/>
          <w:trHeight w:val="2016"/>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t xml:space="preserve">Resultados </w:t>
            </w:r>
          </w:p>
        </w:tc>
        <w:tc>
          <w:tcPr>
            <w:tcW w:w="2127" w:type="dxa"/>
            <w:tcBorders>
              <w:top w:val="nil"/>
              <w:left w:val="nil"/>
              <w:bottom w:val="single" w:sz="4" w:space="0" w:color="auto"/>
              <w:right w:val="single" w:sz="4" w:space="0" w:color="auto"/>
            </w:tcBorders>
            <w:shd w:val="clear" w:color="auto" w:fill="auto"/>
            <w:vAlign w:val="center"/>
            <w:hideMark/>
          </w:tcPr>
          <w:p w:rsidR="001A6118"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Fortalecimiento del patrimonio fito y zoosanitario del país para apoyar el desarrollo sustentable y competitivo de sector silvoagropecuario nacional.</w:t>
            </w:r>
          </w:p>
          <w:p w:rsidR="00B5616E" w:rsidRPr="00F139B4" w:rsidRDefault="00B5616E" w:rsidP="00D21B64">
            <w:pPr>
              <w:spacing w:after="0" w:line="240" w:lineRule="auto"/>
              <w:rPr>
                <w:rFonts w:ascii="Calibri" w:eastAsia="Times New Roman" w:hAnsi="Calibri" w:cs="Calibri"/>
                <w:lang w:eastAsia="es-CL"/>
              </w:rPr>
            </w:pPr>
          </w:p>
        </w:tc>
        <w:tc>
          <w:tcPr>
            <w:tcW w:w="2693" w:type="dxa"/>
            <w:tcBorders>
              <w:top w:val="nil"/>
              <w:left w:val="nil"/>
              <w:bottom w:val="single" w:sz="4" w:space="0" w:color="auto"/>
              <w:right w:val="single" w:sz="4" w:space="0" w:color="auto"/>
            </w:tcBorders>
            <w:shd w:val="clear" w:color="auto" w:fill="auto"/>
            <w:vAlign w:val="center"/>
            <w:hideMark/>
          </w:tcPr>
          <w:p w:rsidR="001A6118" w:rsidRPr="00F139B4"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Fortalecer el patrimonio fito y zoosanitario del país para apoyar el desarrollo sustentable y competitivo del sector silvoagropecuario nacional velando por el cumplimiento de la normativa de los ámbitos de acción del Servicio.</w:t>
            </w: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Mitigar el riesgo de introducción de Polilla gitana (Lymantria dispar) en el territorio nacional, por naves provenientes de países de riesgo.</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E9043A"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Porcentaje de naves de riesgo alto sometidas a inspección obligatoria y específica con luz día para la detección de polilla gitana raza asiática en puertos nacionales.</w:t>
            </w:r>
          </w:p>
        </w:tc>
        <w:tc>
          <w:tcPr>
            <w:tcW w:w="709"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90%</w:t>
            </w:r>
          </w:p>
        </w:tc>
        <w:tc>
          <w:tcPr>
            <w:tcW w:w="621"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xml:space="preserve">2   </w:t>
            </w:r>
          </w:p>
        </w:tc>
      </w:tr>
      <w:tr w:rsidR="00A7496B" w:rsidRPr="00F139B4" w:rsidTr="00A7496B">
        <w:trPr>
          <w:cantSplit/>
          <w:trHeight w:val="1728"/>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lastRenderedPageBreak/>
              <w:t xml:space="preserve">Resultados </w:t>
            </w:r>
          </w:p>
        </w:tc>
        <w:tc>
          <w:tcPr>
            <w:tcW w:w="2127" w:type="dxa"/>
            <w:tcBorders>
              <w:top w:val="nil"/>
              <w:left w:val="nil"/>
              <w:bottom w:val="single" w:sz="4" w:space="0" w:color="auto"/>
              <w:right w:val="single" w:sz="4" w:space="0" w:color="auto"/>
            </w:tcBorders>
            <w:shd w:val="clear" w:color="auto" w:fill="auto"/>
            <w:vAlign w:val="center"/>
            <w:hideMark/>
          </w:tcPr>
          <w:p w:rsidR="001A6118"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Fortalecimiento del patrimonio fito y zoosanitario del país para apoyar el desarrollo sustentable y competitivo de sector silvoagropecuario nacional.</w:t>
            </w:r>
          </w:p>
          <w:p w:rsidR="00B5616E" w:rsidRPr="00F139B4" w:rsidRDefault="00B5616E" w:rsidP="00D21B64">
            <w:pPr>
              <w:spacing w:after="0" w:line="240" w:lineRule="auto"/>
              <w:rPr>
                <w:rFonts w:ascii="Calibri" w:eastAsia="Times New Roman" w:hAnsi="Calibri" w:cs="Calibri"/>
                <w:lang w:eastAsia="es-CL"/>
              </w:rPr>
            </w:pPr>
          </w:p>
        </w:tc>
        <w:tc>
          <w:tcPr>
            <w:tcW w:w="2693" w:type="dxa"/>
            <w:tcBorders>
              <w:top w:val="nil"/>
              <w:left w:val="nil"/>
              <w:bottom w:val="single" w:sz="4" w:space="0" w:color="auto"/>
              <w:right w:val="single" w:sz="4" w:space="0" w:color="auto"/>
            </w:tcBorders>
            <w:shd w:val="clear" w:color="auto" w:fill="auto"/>
            <w:vAlign w:val="center"/>
            <w:hideMark/>
          </w:tcPr>
          <w:p w:rsidR="001A6118" w:rsidRPr="00F139B4"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Fortalecer el patrimonio fito y zoosanitario del país para apoyar el desarrollo sustentable y competitivo del sector silvoagropecuario nacional velando por el cumplimiento de la normativa de los ámbitos de acción del Servicio.</w:t>
            </w: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Conocer, mantener y mejorar la  condición zoosanitaria nacional.</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 xml:space="preserve">Porcentaje de enfermedades de importancia zoosanitaria ausentes en Chile en el año t respecto al total de enfermedades de importancia zoosanitaria para el año t. </w:t>
            </w:r>
          </w:p>
        </w:tc>
        <w:tc>
          <w:tcPr>
            <w:tcW w:w="709"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100%</w:t>
            </w:r>
          </w:p>
        </w:tc>
        <w:tc>
          <w:tcPr>
            <w:tcW w:w="621"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xml:space="preserve">3    </w:t>
            </w:r>
          </w:p>
        </w:tc>
      </w:tr>
      <w:tr w:rsidR="00A7496B" w:rsidRPr="00F139B4" w:rsidTr="00A7496B">
        <w:trPr>
          <w:cantSplit/>
          <w:trHeight w:val="1728"/>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t xml:space="preserve">Resultados </w:t>
            </w:r>
          </w:p>
        </w:tc>
        <w:tc>
          <w:tcPr>
            <w:tcW w:w="2127" w:type="dxa"/>
            <w:tcBorders>
              <w:top w:val="nil"/>
              <w:left w:val="nil"/>
              <w:bottom w:val="single" w:sz="4" w:space="0" w:color="auto"/>
              <w:right w:val="single" w:sz="4" w:space="0" w:color="auto"/>
            </w:tcBorders>
            <w:shd w:val="clear" w:color="auto" w:fill="auto"/>
            <w:vAlign w:val="center"/>
            <w:hideMark/>
          </w:tcPr>
          <w:p w:rsidR="001A6118"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Fortalecimiento del patrimonio fito y zoosanitario del país para apoyar el desarrollo sustentable y competitivo de sector silvoagropecuario nacional.</w:t>
            </w:r>
          </w:p>
          <w:p w:rsidR="00B5616E" w:rsidRPr="00F139B4" w:rsidRDefault="00B5616E" w:rsidP="00D21B64">
            <w:pPr>
              <w:spacing w:after="0" w:line="240" w:lineRule="auto"/>
              <w:rPr>
                <w:rFonts w:ascii="Calibri" w:eastAsia="Times New Roman" w:hAnsi="Calibri" w:cs="Calibri"/>
                <w:lang w:eastAsia="es-CL"/>
              </w:rPr>
            </w:pPr>
          </w:p>
        </w:tc>
        <w:tc>
          <w:tcPr>
            <w:tcW w:w="2693" w:type="dxa"/>
            <w:tcBorders>
              <w:top w:val="nil"/>
              <w:left w:val="nil"/>
              <w:bottom w:val="single" w:sz="4" w:space="0" w:color="auto"/>
              <w:right w:val="single" w:sz="4" w:space="0" w:color="auto"/>
            </w:tcBorders>
            <w:shd w:val="clear" w:color="auto" w:fill="auto"/>
            <w:vAlign w:val="center"/>
            <w:hideMark/>
          </w:tcPr>
          <w:p w:rsidR="001A6118" w:rsidRPr="00F139B4"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Fortalecer el patrimonio fito y zoosanitario del país para apoyar el desarrollo sustentable y competitivo del sector silvoagropecuario nacional velando por el cumplimiento de la normativa de los ámbitos de acción del Servicio.</w:t>
            </w: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C</w:t>
            </w:r>
            <w:r w:rsidR="000E1093">
              <w:rPr>
                <w:rFonts w:ascii="Calibri" w:eastAsia="Times New Roman" w:hAnsi="Calibri" w:cs="Calibri"/>
                <w:lang w:eastAsia="es-CL"/>
              </w:rPr>
              <w:t>ontrolar y/o erradicar Lobesia b</w:t>
            </w:r>
            <w:r w:rsidRPr="00F139B4">
              <w:rPr>
                <w:rFonts w:ascii="Calibri" w:eastAsia="Times New Roman" w:hAnsi="Calibri" w:cs="Calibri"/>
                <w:lang w:eastAsia="es-CL"/>
              </w:rPr>
              <w:t>otrana en el territorio nacional, de acuerdo a la estrategia técnica establecida.</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 xml:space="preserve">Porcentaje de detecciones de Lobesia botrana en predios de vid en el área </w:t>
            </w:r>
            <w:r w:rsidR="000E1093" w:rsidRPr="00F139B4">
              <w:rPr>
                <w:rFonts w:ascii="Calibri" w:eastAsia="Times New Roman" w:hAnsi="Calibri" w:cs="Calibri"/>
                <w:lang w:eastAsia="es-CL"/>
              </w:rPr>
              <w:t>libre con</w:t>
            </w:r>
            <w:r w:rsidRPr="00F139B4">
              <w:rPr>
                <w:rFonts w:ascii="Calibri" w:eastAsia="Times New Roman" w:hAnsi="Calibri" w:cs="Calibri"/>
                <w:lang w:eastAsia="es-CL"/>
              </w:rPr>
              <w:t xml:space="preserve"> implementación de vigilancia en el tiempo máximo establecido en el año t.                                                      </w:t>
            </w:r>
          </w:p>
        </w:tc>
        <w:tc>
          <w:tcPr>
            <w:tcW w:w="709"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100%</w:t>
            </w:r>
          </w:p>
        </w:tc>
        <w:tc>
          <w:tcPr>
            <w:tcW w:w="621"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xml:space="preserve">4    </w:t>
            </w:r>
          </w:p>
        </w:tc>
      </w:tr>
      <w:tr w:rsidR="00A7496B" w:rsidRPr="00F139B4" w:rsidTr="00A7496B">
        <w:trPr>
          <w:cantSplit/>
          <w:trHeight w:val="1728"/>
          <w:jc w:val="center"/>
        </w:trPr>
        <w:tc>
          <w:tcPr>
            <w:tcW w:w="1129" w:type="dxa"/>
            <w:tcBorders>
              <w:top w:val="nil"/>
              <w:left w:val="single" w:sz="4" w:space="0" w:color="auto"/>
              <w:bottom w:val="single" w:sz="4" w:space="0" w:color="000000"/>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lastRenderedPageBreak/>
              <w:t xml:space="preserve">Resultados </w:t>
            </w:r>
          </w:p>
        </w:tc>
        <w:tc>
          <w:tcPr>
            <w:tcW w:w="2127" w:type="dxa"/>
            <w:tcBorders>
              <w:top w:val="nil"/>
              <w:left w:val="single" w:sz="4" w:space="0" w:color="auto"/>
              <w:bottom w:val="single" w:sz="4" w:space="0" w:color="000000"/>
              <w:right w:val="single" w:sz="4" w:space="0" w:color="auto"/>
            </w:tcBorders>
            <w:shd w:val="clear" w:color="auto" w:fill="auto"/>
            <w:vAlign w:val="center"/>
            <w:hideMark/>
          </w:tcPr>
          <w:p w:rsidR="001A6118"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Fortalecimiento del patrimonio fito y zoosanitario del país para apoyar el desarrollo sustentable y competitivo de sector silvoagropecuario nacional.</w:t>
            </w:r>
          </w:p>
          <w:p w:rsidR="00B5616E" w:rsidRPr="00F139B4" w:rsidRDefault="00B5616E" w:rsidP="00D21B64">
            <w:pPr>
              <w:spacing w:after="0" w:line="240" w:lineRule="auto"/>
              <w:rPr>
                <w:rFonts w:ascii="Calibri" w:eastAsia="Times New Roman" w:hAnsi="Calibri" w:cs="Calibri"/>
                <w:lang w:eastAsia="es-CL"/>
              </w:rPr>
            </w:pPr>
          </w:p>
        </w:tc>
        <w:tc>
          <w:tcPr>
            <w:tcW w:w="2693" w:type="dxa"/>
            <w:tcBorders>
              <w:top w:val="nil"/>
              <w:left w:val="single" w:sz="4" w:space="0" w:color="auto"/>
              <w:bottom w:val="single" w:sz="4" w:space="0" w:color="000000"/>
              <w:right w:val="single" w:sz="4" w:space="0" w:color="auto"/>
            </w:tcBorders>
            <w:shd w:val="clear" w:color="auto" w:fill="auto"/>
            <w:vAlign w:val="center"/>
            <w:hideMark/>
          </w:tcPr>
          <w:p w:rsidR="001A6118" w:rsidRPr="00F139B4"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Fortalecer el patrimonio fito y zoosanitario del país para apoyar el desarrollo sustentable y competitivo del sector silvoagropecuario nacional velando por el cumplimiento de la normativa de los ámbitos de acción del Servicio.</w:t>
            </w:r>
          </w:p>
        </w:tc>
        <w:tc>
          <w:tcPr>
            <w:tcW w:w="2268" w:type="dxa"/>
            <w:tcBorders>
              <w:top w:val="nil"/>
              <w:left w:val="single" w:sz="4" w:space="0" w:color="auto"/>
              <w:bottom w:val="single" w:sz="4" w:space="0" w:color="000000"/>
              <w:right w:val="single" w:sz="4" w:space="0" w:color="auto"/>
            </w:tcBorders>
            <w:shd w:val="clear" w:color="auto" w:fill="auto"/>
            <w:vAlign w:val="center"/>
            <w:hideMark/>
          </w:tcPr>
          <w:p w:rsidR="001A6118" w:rsidRPr="00F139B4" w:rsidRDefault="001A6118" w:rsidP="00E71059">
            <w:pPr>
              <w:spacing w:after="0" w:line="240" w:lineRule="auto"/>
              <w:rPr>
                <w:rFonts w:ascii="Calibri" w:eastAsia="Times New Roman" w:hAnsi="Calibri" w:cs="Calibri"/>
                <w:lang w:eastAsia="es-CL"/>
              </w:rPr>
            </w:pPr>
            <w:r w:rsidRPr="00F139B4">
              <w:rPr>
                <w:rFonts w:ascii="Calibri" w:eastAsia="Times New Roman" w:hAnsi="Calibri" w:cs="Calibri"/>
                <w:lang w:eastAsia="es-CL"/>
              </w:rPr>
              <w:t>Monitorear  Brucelosis bovina, de acuerdo a la estrategia técnica establecida.</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Porcentaje de predios bovinos muestreados para la vigilancia de Brucelosis bovina en el año t respecto de lo programado en el año t.</w:t>
            </w:r>
          </w:p>
        </w:tc>
        <w:tc>
          <w:tcPr>
            <w:tcW w:w="709"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100%</w:t>
            </w:r>
          </w:p>
        </w:tc>
        <w:tc>
          <w:tcPr>
            <w:tcW w:w="621"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xml:space="preserve">5    </w:t>
            </w:r>
          </w:p>
        </w:tc>
      </w:tr>
      <w:tr w:rsidR="00A7496B" w:rsidRPr="00F139B4" w:rsidTr="00A7496B">
        <w:trPr>
          <w:cantSplit/>
          <w:trHeight w:val="1728"/>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t xml:space="preserve">Resultados </w:t>
            </w:r>
          </w:p>
        </w:tc>
        <w:tc>
          <w:tcPr>
            <w:tcW w:w="2127" w:type="dxa"/>
            <w:tcBorders>
              <w:top w:val="nil"/>
              <w:left w:val="nil"/>
              <w:bottom w:val="single" w:sz="4" w:space="0" w:color="auto"/>
              <w:right w:val="single" w:sz="4" w:space="0" w:color="auto"/>
            </w:tcBorders>
            <w:shd w:val="clear" w:color="auto" w:fill="auto"/>
            <w:vAlign w:val="center"/>
            <w:hideMark/>
          </w:tcPr>
          <w:p w:rsidR="001A6118"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Fortalecimiento del patrimonio fito y zoosanitario del país para apoyar el desarrollo sustentable y competitivo de sector silvoagropecuario nacional.</w:t>
            </w:r>
          </w:p>
          <w:p w:rsidR="00B5616E" w:rsidRPr="00F139B4" w:rsidRDefault="00B5616E" w:rsidP="00D21B64">
            <w:pPr>
              <w:spacing w:after="0" w:line="240" w:lineRule="auto"/>
              <w:rPr>
                <w:rFonts w:ascii="Calibri" w:eastAsia="Times New Roman" w:hAnsi="Calibri" w:cs="Calibri"/>
                <w:lang w:eastAsia="es-CL"/>
              </w:rPr>
            </w:pPr>
          </w:p>
        </w:tc>
        <w:tc>
          <w:tcPr>
            <w:tcW w:w="2693" w:type="dxa"/>
            <w:tcBorders>
              <w:top w:val="nil"/>
              <w:left w:val="nil"/>
              <w:bottom w:val="single" w:sz="4" w:space="0" w:color="auto"/>
              <w:right w:val="single" w:sz="4" w:space="0" w:color="auto"/>
            </w:tcBorders>
            <w:shd w:val="clear" w:color="auto" w:fill="auto"/>
            <w:vAlign w:val="center"/>
            <w:hideMark/>
          </w:tcPr>
          <w:p w:rsidR="001A6118" w:rsidRPr="00F139B4"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Fortalecer el patrimonio fito y zoosanitario del país para apoyar el desarrollo sustentable y competitivo del sector silvoagropecuario nacional velando por el cumplimiento de la normativa de los ámbitos de acción del Servicio.</w:t>
            </w: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Erradicar eventos de Moscas de la fruta de importancia económica.</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 xml:space="preserve">Porcentaje de eventos de Moscas de la Fruta confirmados erradicados respecto a los detectados.  </w:t>
            </w:r>
          </w:p>
        </w:tc>
        <w:tc>
          <w:tcPr>
            <w:tcW w:w="709"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100%</w:t>
            </w:r>
          </w:p>
        </w:tc>
        <w:tc>
          <w:tcPr>
            <w:tcW w:w="621"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xml:space="preserve">6    </w:t>
            </w:r>
          </w:p>
        </w:tc>
      </w:tr>
      <w:tr w:rsidR="00A7496B" w:rsidRPr="00F139B4" w:rsidTr="00A7496B">
        <w:trPr>
          <w:cantSplit/>
          <w:trHeight w:val="864"/>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lastRenderedPageBreak/>
              <w:t xml:space="preserve">Resultados </w:t>
            </w:r>
          </w:p>
        </w:tc>
        <w:tc>
          <w:tcPr>
            <w:tcW w:w="2127" w:type="dxa"/>
            <w:tcBorders>
              <w:top w:val="nil"/>
              <w:left w:val="nil"/>
              <w:bottom w:val="single" w:sz="4" w:space="0" w:color="auto"/>
              <w:right w:val="single" w:sz="4" w:space="0" w:color="auto"/>
            </w:tcBorders>
            <w:shd w:val="clear" w:color="auto" w:fill="auto"/>
            <w:vAlign w:val="center"/>
            <w:hideMark/>
          </w:tcPr>
          <w:p w:rsidR="001A6118" w:rsidRPr="00F139B4" w:rsidRDefault="00930FDA" w:rsidP="00B5616E">
            <w:pPr>
              <w:rPr>
                <w:rFonts w:ascii="Calibri" w:eastAsia="Times New Roman" w:hAnsi="Calibri" w:cs="Calibri"/>
                <w:lang w:eastAsia="es-CL"/>
              </w:rPr>
            </w:pPr>
            <w:r w:rsidRPr="00930FDA">
              <w:rPr>
                <w:rFonts w:ascii="Calibri" w:eastAsia="Times New Roman" w:hAnsi="Calibri" w:cs="Calibri"/>
                <w:lang w:eastAsia="es-CL"/>
              </w:rPr>
              <w:t>Modernizar el proceso de fiscalización del SAG y de atención de denuncias por infracción, mediante la implementación de nuevas tecnologías.</w:t>
            </w:r>
          </w:p>
        </w:tc>
        <w:tc>
          <w:tcPr>
            <w:tcW w:w="2693" w:type="dxa"/>
            <w:tcBorders>
              <w:top w:val="nil"/>
              <w:left w:val="nil"/>
              <w:bottom w:val="single" w:sz="4" w:space="0" w:color="auto"/>
              <w:right w:val="single" w:sz="4" w:space="0" w:color="auto"/>
            </w:tcBorders>
            <w:shd w:val="clear" w:color="auto" w:fill="auto"/>
            <w:vAlign w:val="center"/>
            <w:hideMark/>
          </w:tcPr>
          <w:p w:rsidR="001A6118" w:rsidRPr="00F139B4"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Fortalecer el patrimonio fito y zoosanitario del país para apoyar el desarrollo sustentable y competitivo del sector silvoagropecuario nacional velando por el cumplimiento de la normativa de los ámbitos de acción del Servicio.</w:t>
            </w: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Dar cumplimiento al Plan de Fiscalización.</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Porcentaje de cumplimiento del plan anual de fiscalización   </w:t>
            </w:r>
          </w:p>
        </w:tc>
        <w:tc>
          <w:tcPr>
            <w:tcW w:w="709"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4B1F37">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100%</w:t>
            </w:r>
          </w:p>
        </w:tc>
        <w:tc>
          <w:tcPr>
            <w:tcW w:w="621"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xml:space="preserve">7    </w:t>
            </w:r>
          </w:p>
        </w:tc>
      </w:tr>
      <w:tr w:rsidR="00A7496B" w:rsidRPr="00F139B4" w:rsidTr="00A7496B">
        <w:trPr>
          <w:cantSplit/>
          <w:trHeight w:val="2016"/>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t xml:space="preserve">Resultados </w:t>
            </w:r>
          </w:p>
        </w:tc>
        <w:tc>
          <w:tcPr>
            <w:tcW w:w="2127" w:type="dxa"/>
            <w:tcBorders>
              <w:top w:val="nil"/>
              <w:left w:val="nil"/>
              <w:bottom w:val="single" w:sz="4" w:space="0" w:color="auto"/>
              <w:right w:val="single" w:sz="4" w:space="0" w:color="auto"/>
            </w:tcBorders>
            <w:shd w:val="clear" w:color="auto" w:fill="auto"/>
            <w:vAlign w:val="center"/>
          </w:tcPr>
          <w:p w:rsidR="001A6118" w:rsidRPr="00F139B4"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Promover el uso de nuevas tecnologías en la operación y administración del Servicio.</w:t>
            </w:r>
          </w:p>
        </w:tc>
        <w:tc>
          <w:tcPr>
            <w:tcW w:w="2693" w:type="dxa"/>
            <w:tcBorders>
              <w:top w:val="nil"/>
              <w:left w:val="nil"/>
              <w:bottom w:val="single" w:sz="4" w:space="0" w:color="auto"/>
              <w:right w:val="single" w:sz="4" w:space="0" w:color="auto"/>
            </w:tcBorders>
            <w:shd w:val="clear" w:color="auto" w:fill="auto"/>
            <w:vAlign w:val="center"/>
            <w:hideMark/>
          </w:tcPr>
          <w:p w:rsidR="001A6118" w:rsidRPr="00F139B4"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Simplificar y agilizar la gestión de los servicios entregados para una mejor y oportuna atención a usuarios/as, a través de la generación y actualización de normativas y procedimientos.</w:t>
            </w: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Reducir re emisiones de certificados fito y zoosanitarios de exportación por causa SAG.</w:t>
            </w:r>
          </w:p>
        </w:tc>
        <w:tc>
          <w:tcPr>
            <w:tcW w:w="3118" w:type="dxa"/>
            <w:tcBorders>
              <w:top w:val="nil"/>
              <w:left w:val="nil"/>
              <w:bottom w:val="single" w:sz="4" w:space="0" w:color="auto"/>
              <w:right w:val="single" w:sz="4" w:space="0" w:color="auto"/>
            </w:tcBorders>
            <w:shd w:val="clear" w:color="auto" w:fill="auto"/>
            <w:vAlign w:val="center"/>
            <w:hideMark/>
          </w:tcPr>
          <w:p w:rsidR="001A6118"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Porcentaje certificados fito y zoosanitarios reemitidos por causa SAG y documentos aclaratorios emitidos por causa SAG asociados al proceso certificación exportaciones año t respecto a total certificados fito y zoosanita</w:t>
            </w:r>
            <w:r w:rsidR="00B5616E">
              <w:rPr>
                <w:rFonts w:ascii="Calibri" w:eastAsia="Times New Roman" w:hAnsi="Calibri" w:cs="Calibri"/>
                <w:lang w:eastAsia="es-CL"/>
              </w:rPr>
              <w:t>rios exportación emitidos año t</w:t>
            </w:r>
            <w:r w:rsidRPr="00F139B4">
              <w:rPr>
                <w:rFonts w:ascii="Calibri" w:eastAsia="Times New Roman" w:hAnsi="Calibri" w:cs="Calibri"/>
                <w:lang w:eastAsia="es-CL"/>
              </w:rPr>
              <w:t>.  </w:t>
            </w:r>
          </w:p>
          <w:p w:rsidR="00B5616E" w:rsidRPr="00F139B4" w:rsidRDefault="00B5616E" w:rsidP="00D21B64">
            <w:pPr>
              <w:spacing w:after="0" w:line="240" w:lineRule="auto"/>
              <w:rPr>
                <w:rFonts w:ascii="Calibri" w:eastAsia="Times New Roman" w:hAnsi="Calibri" w:cs="Calibri"/>
                <w:lang w:eastAsia="es-CL"/>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118" w:rsidRPr="00F139B4" w:rsidRDefault="001A6118" w:rsidP="004B1F37">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0,19%</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xml:space="preserve">8    </w:t>
            </w:r>
          </w:p>
        </w:tc>
      </w:tr>
      <w:tr w:rsidR="00A7496B" w:rsidRPr="00F139B4" w:rsidTr="00A7496B">
        <w:trPr>
          <w:cantSplit/>
          <w:trHeight w:val="144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lastRenderedPageBreak/>
              <w:t xml:space="preserve">Resultados </w:t>
            </w:r>
          </w:p>
        </w:tc>
        <w:tc>
          <w:tcPr>
            <w:tcW w:w="2127" w:type="dxa"/>
            <w:tcBorders>
              <w:top w:val="nil"/>
              <w:left w:val="nil"/>
              <w:bottom w:val="single" w:sz="4" w:space="0" w:color="auto"/>
              <w:right w:val="single" w:sz="4" w:space="0" w:color="auto"/>
            </w:tcBorders>
            <w:shd w:val="clear" w:color="auto" w:fill="auto"/>
            <w:vAlign w:val="center"/>
            <w:hideMark/>
          </w:tcPr>
          <w:p w:rsidR="001A6118" w:rsidRPr="00F139B4"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Promover el uso de nuevas tecnologías en la operación y administración del Servicio.</w:t>
            </w:r>
          </w:p>
        </w:tc>
        <w:tc>
          <w:tcPr>
            <w:tcW w:w="2693" w:type="dxa"/>
            <w:tcBorders>
              <w:top w:val="nil"/>
              <w:left w:val="nil"/>
              <w:bottom w:val="single" w:sz="4" w:space="0" w:color="auto"/>
              <w:right w:val="single" w:sz="4" w:space="0" w:color="auto"/>
            </w:tcBorders>
            <w:shd w:val="clear" w:color="auto" w:fill="auto"/>
            <w:vAlign w:val="center"/>
            <w:hideMark/>
          </w:tcPr>
          <w:p w:rsidR="001A6118"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Simplificar y agilizar la gestión de los servicios entregados para una mejor y oportuna atención a usuarios/as, a través de la generación y actualización de normativas y procedimientos.</w:t>
            </w:r>
          </w:p>
          <w:p w:rsidR="00B5616E" w:rsidRPr="00F139B4" w:rsidRDefault="00B5616E" w:rsidP="00D21B64">
            <w:pPr>
              <w:spacing w:after="0" w:line="240" w:lineRule="auto"/>
              <w:rPr>
                <w:rFonts w:ascii="Calibri" w:eastAsia="Times New Roman" w:hAnsi="Calibri" w:cs="Calibri"/>
                <w:lang w:eastAsia="es-CL"/>
              </w:rPr>
            </w:pP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Mejorar la satisfacción de los usuarios de los procesos insertos en el Sistema de Gestión de la Calidad.</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Porcentaje de procesos con nota promedio en Evaluación General,  igual o superior a 5,9 en el año t, en relación al total de procesos con medición en el año 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70%</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xml:space="preserve">9    </w:t>
            </w:r>
          </w:p>
        </w:tc>
      </w:tr>
      <w:tr w:rsidR="00A7496B" w:rsidRPr="00F139B4" w:rsidTr="00A7496B">
        <w:trPr>
          <w:cantSplit/>
          <w:trHeight w:val="1152"/>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t xml:space="preserve">Resultados </w:t>
            </w:r>
          </w:p>
        </w:tc>
        <w:tc>
          <w:tcPr>
            <w:tcW w:w="2127" w:type="dxa"/>
            <w:tcBorders>
              <w:top w:val="nil"/>
              <w:left w:val="nil"/>
              <w:bottom w:val="single" w:sz="4" w:space="0" w:color="auto"/>
              <w:right w:val="single" w:sz="4" w:space="0" w:color="auto"/>
            </w:tcBorders>
            <w:shd w:val="clear" w:color="auto" w:fill="auto"/>
            <w:vAlign w:val="center"/>
            <w:hideMark/>
          </w:tcPr>
          <w:p w:rsidR="001A6118" w:rsidRPr="00F139B4"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Promover el uso de nuevas tecnologías en la operación y administración del Servicio.</w:t>
            </w:r>
          </w:p>
        </w:tc>
        <w:tc>
          <w:tcPr>
            <w:tcW w:w="2693" w:type="dxa"/>
            <w:tcBorders>
              <w:top w:val="nil"/>
              <w:left w:val="nil"/>
              <w:bottom w:val="single" w:sz="4" w:space="0" w:color="auto"/>
              <w:right w:val="single" w:sz="4" w:space="0" w:color="auto"/>
            </w:tcBorders>
            <w:shd w:val="clear" w:color="auto" w:fill="auto"/>
            <w:vAlign w:val="center"/>
            <w:hideMark/>
          </w:tcPr>
          <w:p w:rsidR="001A6118"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Simplificar y agilizar la gestión de los servicios entregados para una mejor y oportuna atención a usuarios/as, a través de la generación y actualización de normativas y procedimientos.</w:t>
            </w:r>
          </w:p>
          <w:p w:rsidR="00B5616E" w:rsidRPr="00F139B4" w:rsidRDefault="00B5616E" w:rsidP="00D21B64">
            <w:pPr>
              <w:spacing w:after="0" w:line="240" w:lineRule="auto"/>
              <w:rPr>
                <w:rFonts w:ascii="Calibri" w:eastAsia="Times New Roman" w:hAnsi="Calibri" w:cs="Calibri"/>
                <w:lang w:eastAsia="es-CL"/>
              </w:rPr>
            </w:pP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Cumplir con los plazos de los procesos asociados al control de insumos.</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Porcentaje de solicitudes de registro de productos farmacéuticos en procesos que están dentro del plazo a la fecha.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100%</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 </w:t>
            </w:r>
          </w:p>
        </w:tc>
      </w:tr>
      <w:tr w:rsidR="00A7496B" w:rsidRPr="00F139B4" w:rsidTr="00A7496B">
        <w:trPr>
          <w:cantSplit/>
          <w:trHeight w:val="1152"/>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1A6118" w:rsidRPr="00F139B4" w:rsidRDefault="00A7496B" w:rsidP="00A7496B">
            <w:pPr>
              <w:spacing w:after="0" w:line="240" w:lineRule="auto"/>
              <w:jc w:val="center"/>
              <w:rPr>
                <w:rFonts w:ascii="Calibri" w:eastAsia="Times New Roman" w:hAnsi="Calibri" w:cs="Calibri"/>
                <w:lang w:eastAsia="es-CL"/>
              </w:rPr>
            </w:pPr>
            <w:r w:rsidRPr="00A7496B">
              <w:rPr>
                <w:rFonts w:ascii="Calibri" w:eastAsia="Times New Roman" w:hAnsi="Calibri" w:cs="Calibri"/>
                <w:lang w:eastAsia="es-CL"/>
              </w:rPr>
              <w:t xml:space="preserve">Resultados </w:t>
            </w:r>
          </w:p>
        </w:tc>
        <w:tc>
          <w:tcPr>
            <w:tcW w:w="2127" w:type="dxa"/>
            <w:tcBorders>
              <w:top w:val="nil"/>
              <w:left w:val="nil"/>
              <w:bottom w:val="single" w:sz="4" w:space="0" w:color="auto"/>
              <w:right w:val="single" w:sz="4" w:space="0" w:color="auto"/>
            </w:tcBorders>
            <w:shd w:val="clear" w:color="auto" w:fill="auto"/>
            <w:vAlign w:val="center"/>
            <w:hideMark/>
          </w:tcPr>
          <w:p w:rsidR="001A6118" w:rsidRPr="00F139B4" w:rsidRDefault="00930FDA" w:rsidP="00D21B64">
            <w:pPr>
              <w:spacing w:after="0" w:line="240" w:lineRule="auto"/>
              <w:rPr>
                <w:rFonts w:ascii="Calibri" w:eastAsia="Times New Roman" w:hAnsi="Calibri" w:cs="Calibri"/>
                <w:lang w:eastAsia="es-CL"/>
              </w:rPr>
            </w:pPr>
            <w:r w:rsidRPr="00930FDA">
              <w:rPr>
                <w:rFonts w:ascii="Calibri" w:eastAsia="Times New Roman" w:hAnsi="Calibri" w:cs="Calibri"/>
                <w:lang w:eastAsia="es-CL"/>
              </w:rPr>
              <w:t>Promover el uso de nuevas tecnologías en la operación y administración del Servicio.</w:t>
            </w:r>
          </w:p>
        </w:tc>
        <w:tc>
          <w:tcPr>
            <w:tcW w:w="2693" w:type="dxa"/>
            <w:tcBorders>
              <w:top w:val="nil"/>
              <w:left w:val="nil"/>
              <w:bottom w:val="single" w:sz="4" w:space="0" w:color="auto"/>
              <w:right w:val="single" w:sz="4" w:space="0" w:color="auto"/>
            </w:tcBorders>
            <w:shd w:val="clear" w:color="auto" w:fill="auto"/>
            <w:vAlign w:val="center"/>
            <w:hideMark/>
          </w:tcPr>
          <w:p w:rsidR="001A6118" w:rsidRDefault="006E37DA" w:rsidP="00D21B64">
            <w:pPr>
              <w:spacing w:after="0" w:line="240" w:lineRule="auto"/>
              <w:rPr>
                <w:rFonts w:ascii="Calibri" w:eastAsia="Times New Roman" w:hAnsi="Calibri" w:cs="Calibri"/>
                <w:lang w:eastAsia="es-CL"/>
              </w:rPr>
            </w:pPr>
            <w:r w:rsidRPr="006E37DA">
              <w:rPr>
                <w:rFonts w:ascii="Calibri" w:eastAsia="Times New Roman" w:hAnsi="Calibri" w:cs="Calibri"/>
                <w:lang w:eastAsia="es-CL"/>
              </w:rPr>
              <w:t>Simplificar y agilizar la gestión de los servicios entregados para una mejor y oportuna atención a usuarios/as, a través de la generación y actualización de normativas y procedimientos.</w:t>
            </w:r>
          </w:p>
          <w:p w:rsidR="00B5616E" w:rsidRPr="00F139B4" w:rsidRDefault="00B5616E" w:rsidP="00D21B64">
            <w:pPr>
              <w:spacing w:after="0" w:line="240" w:lineRule="auto"/>
              <w:rPr>
                <w:rFonts w:ascii="Calibri" w:eastAsia="Times New Roman" w:hAnsi="Calibri" w:cs="Calibri"/>
                <w:lang w:eastAsia="es-CL"/>
              </w:rPr>
            </w:pPr>
          </w:p>
        </w:tc>
        <w:tc>
          <w:tcPr>
            <w:tcW w:w="226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Cumplir con los plazos de los procesos asociados al control de insumos.</w:t>
            </w:r>
          </w:p>
        </w:tc>
        <w:tc>
          <w:tcPr>
            <w:tcW w:w="3118" w:type="dxa"/>
            <w:tcBorders>
              <w:top w:val="nil"/>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rPr>
                <w:rFonts w:ascii="Calibri" w:eastAsia="Times New Roman" w:hAnsi="Calibri" w:cs="Calibri"/>
                <w:lang w:eastAsia="es-CL"/>
              </w:rPr>
            </w:pPr>
            <w:r w:rsidRPr="00F139B4">
              <w:rPr>
                <w:rFonts w:ascii="Calibri" w:eastAsia="Times New Roman" w:hAnsi="Calibri" w:cs="Calibri"/>
                <w:lang w:eastAsia="es-CL"/>
              </w:rPr>
              <w:t>Porcentaje de solicitudes de autorización, renovación o modificación de plaguicidas en proceso que están dentro del plazo.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50%</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6118" w:rsidRPr="00F139B4" w:rsidRDefault="001A6118" w:rsidP="00D21B64">
            <w:pPr>
              <w:spacing w:after="0" w:line="240" w:lineRule="auto"/>
              <w:jc w:val="center"/>
              <w:rPr>
                <w:rFonts w:ascii="Calibri" w:eastAsia="Times New Roman" w:hAnsi="Calibri" w:cs="Calibri"/>
                <w:lang w:eastAsia="es-CL"/>
              </w:rPr>
            </w:pPr>
            <w:r w:rsidRPr="00F139B4">
              <w:rPr>
                <w:rFonts w:ascii="Calibri" w:eastAsia="Times New Roman" w:hAnsi="Calibri" w:cs="Calibri"/>
                <w:lang w:eastAsia="es-CL"/>
              </w:rPr>
              <w:t>10 </w:t>
            </w:r>
          </w:p>
        </w:tc>
      </w:tr>
    </w:tbl>
    <w:p w:rsidR="000275E2" w:rsidRPr="00F139B4" w:rsidRDefault="000275E2" w:rsidP="00D46120">
      <w:pPr>
        <w:jc w:val="right"/>
      </w:pPr>
    </w:p>
    <w:p w:rsidR="00B344B9" w:rsidRPr="00F139B4" w:rsidRDefault="000275E2" w:rsidP="00B344B9">
      <w:pPr>
        <w:spacing w:after="0" w:line="240" w:lineRule="auto"/>
        <w:jc w:val="both"/>
        <w:rPr>
          <w:sz w:val="18"/>
          <w:szCs w:val="18"/>
        </w:rPr>
      </w:pPr>
      <w:r w:rsidRPr="00F139B4">
        <w:rPr>
          <w:sz w:val="18"/>
          <w:szCs w:val="18"/>
        </w:rPr>
        <w:lastRenderedPageBreak/>
        <w:t>1.</w:t>
      </w:r>
      <w:r w:rsidR="008A7822" w:rsidRPr="00F139B4">
        <w:rPr>
          <w:sz w:val="18"/>
          <w:szCs w:val="18"/>
        </w:rPr>
        <w:t>-</w:t>
      </w:r>
      <w:r w:rsidRPr="00F139B4">
        <w:rPr>
          <w:sz w:val="18"/>
          <w:szCs w:val="18"/>
        </w:rPr>
        <w:t xml:space="preserve"> </w:t>
      </w:r>
      <w:r w:rsidR="00B344B9" w:rsidRPr="00F139B4">
        <w:rPr>
          <w:sz w:val="18"/>
          <w:szCs w:val="18"/>
        </w:rPr>
        <w:t xml:space="preserve">Para acceder a la bonificación, se debe presentar un plan de manejo a los concursos que para el efecto implementan el SAG o el INDAP, el que debe ser confeccionado por un operador acreditado, considerando la Tabla Anual de Costos que establece el Ministerio de Agricultura y debe contener, entre otros antecedentes, la individualización del área a intervenir con una o más prácticas bonificables por el Programa. Dichas prácticas se agrupan en cinco subprogramas: i) fertilización fosfatada, ii) incorporación de elementos químicos esenciales (se incluye enmiendas calcáreas), iii) establecimiento de praderas, iv) conservación de suelos (se incluye rotación de cultivos) y, v) rehabilitación de suelos.        </w:t>
      </w:r>
    </w:p>
    <w:p w:rsidR="008A7822" w:rsidRPr="00F139B4" w:rsidRDefault="00B344B9" w:rsidP="00B344B9">
      <w:pPr>
        <w:spacing w:after="0" w:line="240" w:lineRule="auto"/>
        <w:jc w:val="both"/>
        <w:rPr>
          <w:sz w:val="18"/>
          <w:szCs w:val="18"/>
        </w:rPr>
      </w:pPr>
      <w:r w:rsidRPr="00F139B4">
        <w:rPr>
          <w:sz w:val="18"/>
          <w:szCs w:val="18"/>
        </w:rPr>
        <w:t xml:space="preserve">        El reglamento del Programa señala qué práctica es aquella tarea específica que contribuye al mantenimiento y mejora del recurso suelo, en el ámbito de alguna de las actividades o subprogramas establecidos en el inciso segundo del artículo 3º de la ley Nº 20.412.</w:t>
      </w:r>
    </w:p>
    <w:p w:rsidR="008A7822" w:rsidRPr="00F139B4" w:rsidRDefault="008A7822" w:rsidP="000275E2">
      <w:pPr>
        <w:spacing w:after="0" w:line="240" w:lineRule="auto"/>
        <w:jc w:val="both"/>
        <w:rPr>
          <w:sz w:val="18"/>
          <w:szCs w:val="18"/>
        </w:rPr>
      </w:pPr>
    </w:p>
    <w:p w:rsidR="000275E2" w:rsidRPr="00F139B4" w:rsidRDefault="008A7822" w:rsidP="000275E2">
      <w:pPr>
        <w:spacing w:after="0" w:line="240" w:lineRule="auto"/>
        <w:jc w:val="both"/>
        <w:rPr>
          <w:sz w:val="18"/>
          <w:szCs w:val="18"/>
        </w:rPr>
      </w:pPr>
      <w:r w:rsidRPr="00F139B4">
        <w:rPr>
          <w:sz w:val="18"/>
          <w:szCs w:val="18"/>
        </w:rPr>
        <w:t>2.-</w:t>
      </w:r>
      <w:r w:rsidR="00E9043A" w:rsidRPr="00F139B4">
        <w:t xml:space="preserve"> </w:t>
      </w:r>
      <w:r w:rsidR="00E9043A" w:rsidRPr="00F139B4">
        <w:rPr>
          <w:sz w:val="18"/>
          <w:szCs w:val="18"/>
        </w:rPr>
        <w:t xml:space="preserve">En el mes de febrero del 2014 entra en vigencia la Resolución Ex. SAG N° 4.412 de 2013 que “Establece Requisitos Fitosanitarios para el Ingreso de Naves Provenientes de Áreas con Presencia de Polilla Gitana Raza Asiática (PGRA) Lymantria dispar </w:t>
      </w:r>
      <w:r w:rsidR="000E1093" w:rsidRPr="00F139B4">
        <w:rPr>
          <w:sz w:val="18"/>
          <w:szCs w:val="18"/>
        </w:rPr>
        <w:t>Asiática</w:t>
      </w:r>
      <w:r w:rsidR="00E9043A" w:rsidRPr="00F139B4">
        <w:rPr>
          <w:sz w:val="18"/>
          <w:szCs w:val="18"/>
        </w:rPr>
        <w:t xml:space="preserve"> Vnukovskij y Lymantria dispar Japónica (Motschulsky) (Lepidoptera, Lymantriidae)”, lo cual implica que todas las naves de transporte marítimo que arriben a primer puerto chileno),  y que zarparon  o permanecieron  en áreas con presencia PGRA y en época de vuelo de la hembra,  hasta 24 meses previos al arribo a Chile (en adelante Naves de Riesgo), deberán venir amparadas por un Certificado que señale que la nave se encuentra libre de esta plaga. Aquellas naves que no vengan amparados por el Certificado serán consideradas de riesgo alto y deberán ser sometidas, obligatoriamente, a una inspección fitosanitaria específica para la detección de la plaga, con luz día.</w:t>
      </w:r>
    </w:p>
    <w:p w:rsidR="000275E2" w:rsidRPr="00F139B4" w:rsidRDefault="00DA62A8" w:rsidP="000275E2">
      <w:pPr>
        <w:spacing w:after="0" w:line="240" w:lineRule="auto"/>
        <w:jc w:val="both"/>
        <w:rPr>
          <w:sz w:val="18"/>
          <w:szCs w:val="18"/>
        </w:rPr>
      </w:pPr>
      <w:r w:rsidRPr="00F139B4">
        <w:rPr>
          <w:sz w:val="18"/>
          <w:szCs w:val="18"/>
        </w:rPr>
        <w:t xml:space="preserve"> </w:t>
      </w:r>
    </w:p>
    <w:p w:rsidR="00F77766" w:rsidRPr="00F139B4" w:rsidRDefault="00DA62A8" w:rsidP="00F77766">
      <w:pPr>
        <w:spacing w:after="0" w:line="240" w:lineRule="auto"/>
        <w:jc w:val="both"/>
        <w:rPr>
          <w:sz w:val="18"/>
          <w:szCs w:val="18"/>
        </w:rPr>
      </w:pPr>
      <w:r w:rsidRPr="00F139B4">
        <w:rPr>
          <w:sz w:val="18"/>
          <w:szCs w:val="18"/>
        </w:rPr>
        <w:t xml:space="preserve">3.- </w:t>
      </w:r>
      <w:r w:rsidR="00F77766" w:rsidRPr="00F139B4">
        <w:rPr>
          <w:sz w:val="18"/>
          <w:szCs w:val="18"/>
        </w:rPr>
        <w:t xml:space="preserve">Las 16 enfermedades animales de importancia zoosanitaria son de denuncia obligatoria al SAG y de notificación a la Organización Mundial de Sanidad Animal (OIE). En Chile son consideradas enfermedades exóticas por encontrarse ausentes en el territorio nacional y son de importancia económica debido al daño o perdidas físicas que producirían a las explotaciones pecuarias si ingresaran.                         </w:t>
      </w:r>
    </w:p>
    <w:p w:rsidR="00F77766" w:rsidRPr="00F139B4" w:rsidRDefault="00F77766" w:rsidP="00F77766">
      <w:pPr>
        <w:spacing w:after="0" w:line="240" w:lineRule="auto"/>
        <w:jc w:val="both"/>
        <w:rPr>
          <w:sz w:val="18"/>
          <w:szCs w:val="18"/>
        </w:rPr>
      </w:pPr>
      <w:r w:rsidRPr="00F139B4">
        <w:rPr>
          <w:sz w:val="18"/>
          <w:szCs w:val="18"/>
        </w:rPr>
        <w:t xml:space="preserve">        Los conceptos utilizados y su definición para calcular el indicador son: Ausente: Se considerará como ausentes a las enfermedades que no hayan sido detectadas en las poblaciones susceptibles definidas, aun cuando habiendo aplicado medidas tendientes a su control y erradicación, existan brotes dentro del territorio nacional con el fin de demostrar la restitución de la condición previa a su ingreso y haya sido oficialmente informado a la OIE.        </w:t>
      </w:r>
    </w:p>
    <w:p w:rsidR="00DA62A8" w:rsidRPr="00F139B4" w:rsidRDefault="00F77766" w:rsidP="00F77766">
      <w:pPr>
        <w:spacing w:after="0" w:line="240" w:lineRule="auto"/>
        <w:jc w:val="both"/>
        <w:rPr>
          <w:sz w:val="18"/>
          <w:szCs w:val="18"/>
        </w:rPr>
      </w:pPr>
      <w:r w:rsidRPr="00F139B4">
        <w:rPr>
          <w:sz w:val="18"/>
          <w:szCs w:val="18"/>
        </w:rPr>
        <w:t xml:space="preserve">        Presencia de enfermedad:</w:t>
      </w:r>
      <w:r w:rsidR="00647EA4" w:rsidRPr="00F139B4">
        <w:rPr>
          <w:sz w:val="18"/>
          <w:szCs w:val="18"/>
        </w:rPr>
        <w:t xml:space="preserve"> </w:t>
      </w:r>
      <w:r w:rsidRPr="00F139B4">
        <w:rPr>
          <w:sz w:val="18"/>
          <w:szCs w:val="18"/>
        </w:rPr>
        <w:t>Se considerará enfermedad presente cuando, alguna de estas enfermedades haya sido detectada en una población susceptible definida y pese a las medidas aplicadas para su control y erradicación haya salido de una zona de contención, estableciéndose en una población y área geográfica, junto con la oficialización de la declaración de en</w:t>
      </w:r>
      <w:r w:rsidR="00647EA4" w:rsidRPr="00F139B4">
        <w:rPr>
          <w:sz w:val="18"/>
          <w:szCs w:val="18"/>
        </w:rPr>
        <w:t xml:space="preserve">fermedad endémica a la OIE. </w:t>
      </w:r>
      <w:r w:rsidRPr="00F139B4">
        <w:rPr>
          <w:sz w:val="18"/>
          <w:szCs w:val="18"/>
        </w:rPr>
        <w:t xml:space="preserve"> Las 16 enfermedades de importancia zoosanitaria son: 1) fiebre aftosa, 2) cowdriosis (bovino), 3) peste bovina, 4) peste de los pequeños rumiantes, 5) </w:t>
      </w:r>
      <w:r w:rsidR="000E1093" w:rsidRPr="00F139B4">
        <w:rPr>
          <w:sz w:val="18"/>
          <w:szCs w:val="18"/>
        </w:rPr>
        <w:t>perineumonía</w:t>
      </w:r>
      <w:r w:rsidRPr="00F139B4">
        <w:rPr>
          <w:sz w:val="18"/>
          <w:szCs w:val="18"/>
        </w:rPr>
        <w:t xml:space="preserve"> contagiosa bovina, 6) encefalomielitis por virus Nipah (cerdos),  7) viruela del camello (camélidos sudamericanos), 8) viruela ovina y caprina, 9) septicemia </w:t>
      </w:r>
      <w:r w:rsidR="000E1093" w:rsidRPr="00F139B4">
        <w:rPr>
          <w:sz w:val="18"/>
          <w:szCs w:val="18"/>
        </w:rPr>
        <w:t>hemorrágica</w:t>
      </w:r>
      <w:r w:rsidRPr="00F139B4">
        <w:rPr>
          <w:sz w:val="18"/>
          <w:szCs w:val="18"/>
        </w:rPr>
        <w:t xml:space="preserve"> (bovina), 10) peste porcina clásica, 11) peste porcina africana,12) influenza aviar altamente patógena, 13) new castle velogénico viscerotrópico, 14) prurigo lumbar (clásico o scrapie), 15) aujesky y 16) encefalopatía espongiforme bovina (clásica).                </w:t>
      </w:r>
    </w:p>
    <w:p w:rsidR="00DA62A8" w:rsidRPr="00F139B4" w:rsidRDefault="00DA62A8" w:rsidP="000275E2">
      <w:pPr>
        <w:spacing w:after="0" w:line="240" w:lineRule="auto"/>
        <w:jc w:val="both"/>
        <w:rPr>
          <w:sz w:val="18"/>
          <w:szCs w:val="18"/>
        </w:rPr>
      </w:pPr>
    </w:p>
    <w:p w:rsidR="000275E2" w:rsidRPr="00F139B4" w:rsidRDefault="008A7822" w:rsidP="000275E2">
      <w:pPr>
        <w:spacing w:after="0" w:line="240" w:lineRule="auto"/>
        <w:jc w:val="both"/>
        <w:rPr>
          <w:sz w:val="18"/>
          <w:szCs w:val="18"/>
        </w:rPr>
      </w:pPr>
      <w:r w:rsidRPr="00F139B4">
        <w:rPr>
          <w:sz w:val="18"/>
          <w:szCs w:val="18"/>
        </w:rPr>
        <w:t>4</w:t>
      </w:r>
      <w:r w:rsidR="000275E2" w:rsidRPr="00F139B4">
        <w:rPr>
          <w:sz w:val="18"/>
          <w:szCs w:val="18"/>
        </w:rPr>
        <w:t>.</w:t>
      </w:r>
      <w:r w:rsidRPr="00F139B4">
        <w:rPr>
          <w:sz w:val="18"/>
          <w:szCs w:val="18"/>
        </w:rPr>
        <w:t>-</w:t>
      </w:r>
      <w:r w:rsidR="000275E2" w:rsidRPr="00F139B4">
        <w:rPr>
          <w:sz w:val="18"/>
          <w:szCs w:val="18"/>
        </w:rPr>
        <w:t xml:space="preserve"> Área libre comprende todos los huertos comerciales de vid ubicados entre las regiones de Atacama y Aysén, ambas incluidas, que se encuentran fuera de los anillos de radios 3 km en cuyo centro existe un brote activo de la plaga (área reglamentada). La estrategia </w:t>
      </w:r>
      <w:r w:rsidR="007E00FA" w:rsidRPr="00F139B4">
        <w:rPr>
          <w:sz w:val="18"/>
          <w:szCs w:val="18"/>
        </w:rPr>
        <w:t>20</w:t>
      </w:r>
      <w:r w:rsidR="00383212" w:rsidRPr="00F139B4">
        <w:rPr>
          <w:sz w:val="18"/>
          <w:szCs w:val="18"/>
        </w:rPr>
        <w:t>19</w:t>
      </w:r>
      <w:r w:rsidR="007E00FA" w:rsidRPr="00F139B4">
        <w:rPr>
          <w:sz w:val="18"/>
          <w:szCs w:val="18"/>
        </w:rPr>
        <w:t>-20</w:t>
      </w:r>
      <w:r w:rsidR="00383212" w:rsidRPr="00F139B4">
        <w:rPr>
          <w:sz w:val="18"/>
          <w:szCs w:val="18"/>
        </w:rPr>
        <w:t>20</w:t>
      </w:r>
      <w:r w:rsidR="007E00FA" w:rsidRPr="00F139B4">
        <w:rPr>
          <w:sz w:val="18"/>
          <w:szCs w:val="18"/>
        </w:rPr>
        <w:t xml:space="preserve"> </w:t>
      </w:r>
      <w:r w:rsidR="000275E2" w:rsidRPr="00F139B4">
        <w:rPr>
          <w:sz w:val="18"/>
          <w:szCs w:val="18"/>
        </w:rPr>
        <w:t>establece la contención, supresión y erradicación de la plaga de los cultivos que registran impacto de la plaga, de acuerdo al siguiente detalle:</w:t>
      </w:r>
    </w:p>
    <w:p w:rsidR="000275E2" w:rsidRPr="00F139B4" w:rsidRDefault="000275E2" w:rsidP="000275E2">
      <w:pPr>
        <w:spacing w:after="0" w:line="240" w:lineRule="auto"/>
        <w:jc w:val="both"/>
        <w:rPr>
          <w:sz w:val="18"/>
          <w:szCs w:val="18"/>
        </w:rPr>
      </w:pPr>
      <w:r w:rsidRPr="00F139B4">
        <w:rPr>
          <w:sz w:val="18"/>
          <w:szCs w:val="18"/>
        </w:rPr>
        <w:t>‐ Estrategia de Supresión y Contención: Regiones Metropolitana, O´Higgins y Maule;</w:t>
      </w:r>
    </w:p>
    <w:p w:rsidR="000275E2" w:rsidRPr="00F139B4" w:rsidRDefault="000275E2" w:rsidP="000275E2">
      <w:pPr>
        <w:spacing w:after="0" w:line="240" w:lineRule="auto"/>
        <w:jc w:val="both"/>
        <w:rPr>
          <w:sz w:val="18"/>
          <w:szCs w:val="18"/>
        </w:rPr>
      </w:pPr>
      <w:r w:rsidRPr="00F139B4">
        <w:rPr>
          <w:sz w:val="18"/>
          <w:szCs w:val="18"/>
        </w:rPr>
        <w:t>‐ Estrategia de Supresión y Erradicación: Regiones de Atacama (Provincia de Copiapó al sur), Coquimbo, Valparaíso, Biobío y Araucanía.</w:t>
      </w:r>
    </w:p>
    <w:p w:rsidR="000275E2" w:rsidRPr="00F139B4" w:rsidRDefault="000275E2" w:rsidP="000275E2">
      <w:pPr>
        <w:spacing w:after="0" w:line="240" w:lineRule="auto"/>
        <w:jc w:val="both"/>
        <w:rPr>
          <w:sz w:val="18"/>
          <w:szCs w:val="18"/>
        </w:rPr>
      </w:pPr>
    </w:p>
    <w:p w:rsidR="000275E2" w:rsidRPr="00F139B4" w:rsidRDefault="008A7822" w:rsidP="000275E2">
      <w:pPr>
        <w:spacing w:after="0" w:line="240" w:lineRule="auto"/>
        <w:jc w:val="both"/>
        <w:rPr>
          <w:sz w:val="18"/>
          <w:szCs w:val="18"/>
        </w:rPr>
      </w:pPr>
      <w:r w:rsidRPr="00F139B4">
        <w:rPr>
          <w:sz w:val="18"/>
          <w:szCs w:val="18"/>
        </w:rPr>
        <w:t>5</w:t>
      </w:r>
      <w:r w:rsidR="000275E2" w:rsidRPr="00F139B4">
        <w:rPr>
          <w:sz w:val="18"/>
          <w:szCs w:val="18"/>
        </w:rPr>
        <w:t>.</w:t>
      </w:r>
      <w:r w:rsidRPr="00F139B4">
        <w:rPr>
          <w:sz w:val="18"/>
          <w:szCs w:val="18"/>
        </w:rPr>
        <w:t>-</w:t>
      </w:r>
      <w:r w:rsidR="000275E2" w:rsidRPr="00F139B4">
        <w:rPr>
          <w:sz w:val="18"/>
          <w:szCs w:val="18"/>
        </w:rPr>
        <w:t xml:space="preserve"> Este indicador aplica a las siguientes regiones de la </w:t>
      </w:r>
      <w:r w:rsidR="00CF35B7" w:rsidRPr="00F139B4">
        <w:rPr>
          <w:sz w:val="18"/>
          <w:szCs w:val="18"/>
        </w:rPr>
        <w:t>Macro zona</w:t>
      </w:r>
      <w:r w:rsidR="000275E2" w:rsidRPr="00F139B4">
        <w:rPr>
          <w:sz w:val="18"/>
          <w:szCs w:val="18"/>
        </w:rPr>
        <w:t xml:space="preserve"> norte: Arica y Parinacota, Tarapacá, Antofagasta, Atacama y Coquimbo.</w:t>
      </w:r>
    </w:p>
    <w:p w:rsidR="000275E2" w:rsidRPr="00F139B4" w:rsidRDefault="000275E2" w:rsidP="000275E2">
      <w:pPr>
        <w:spacing w:after="0" w:line="240" w:lineRule="auto"/>
        <w:jc w:val="both"/>
        <w:rPr>
          <w:sz w:val="18"/>
          <w:szCs w:val="18"/>
        </w:rPr>
      </w:pPr>
    </w:p>
    <w:p w:rsidR="003C79C6" w:rsidRPr="00F139B4" w:rsidRDefault="008A7822" w:rsidP="003C79C6">
      <w:pPr>
        <w:spacing w:after="0" w:line="240" w:lineRule="auto"/>
        <w:jc w:val="both"/>
        <w:rPr>
          <w:sz w:val="18"/>
          <w:szCs w:val="18"/>
        </w:rPr>
      </w:pPr>
      <w:r w:rsidRPr="00F139B4">
        <w:rPr>
          <w:sz w:val="18"/>
          <w:szCs w:val="18"/>
        </w:rPr>
        <w:t>6</w:t>
      </w:r>
      <w:r w:rsidR="000275E2" w:rsidRPr="00F139B4">
        <w:rPr>
          <w:sz w:val="18"/>
          <w:szCs w:val="18"/>
        </w:rPr>
        <w:t>.</w:t>
      </w:r>
      <w:r w:rsidRPr="00F139B4">
        <w:rPr>
          <w:sz w:val="18"/>
          <w:szCs w:val="18"/>
        </w:rPr>
        <w:t>-</w:t>
      </w:r>
      <w:r w:rsidR="000275E2" w:rsidRPr="00F139B4">
        <w:rPr>
          <w:sz w:val="18"/>
          <w:szCs w:val="18"/>
        </w:rPr>
        <w:t xml:space="preserve"> </w:t>
      </w:r>
      <w:r w:rsidR="003C79C6" w:rsidRPr="00F139B4">
        <w:rPr>
          <w:sz w:val="18"/>
          <w:szCs w:val="18"/>
        </w:rPr>
        <w:t xml:space="preserve"> Los conceptos utilizados y su definición para calcular el indicador son:        </w:t>
      </w:r>
    </w:p>
    <w:p w:rsidR="003C79C6" w:rsidRPr="00F139B4" w:rsidRDefault="003C79C6" w:rsidP="003C79C6">
      <w:pPr>
        <w:spacing w:after="0" w:line="240" w:lineRule="auto"/>
        <w:jc w:val="both"/>
        <w:rPr>
          <w:sz w:val="18"/>
          <w:szCs w:val="18"/>
        </w:rPr>
      </w:pPr>
      <w:r w:rsidRPr="00F139B4">
        <w:rPr>
          <w:sz w:val="18"/>
          <w:szCs w:val="18"/>
        </w:rPr>
        <w:t xml:space="preserve">        - Evento: son los brotes y las capturas simples confirmadas por el Laboratorio Oficial.        </w:t>
      </w:r>
    </w:p>
    <w:p w:rsidR="003C79C6" w:rsidRPr="00F139B4" w:rsidRDefault="003C79C6" w:rsidP="003C79C6">
      <w:pPr>
        <w:spacing w:after="0" w:line="240" w:lineRule="auto"/>
        <w:jc w:val="both"/>
        <w:rPr>
          <w:sz w:val="18"/>
          <w:szCs w:val="18"/>
        </w:rPr>
      </w:pPr>
      <w:r w:rsidRPr="00F139B4">
        <w:rPr>
          <w:sz w:val="18"/>
          <w:szCs w:val="18"/>
        </w:rPr>
        <w:lastRenderedPageBreak/>
        <w:t xml:space="preserve">        - Brote confirmado: captura de más de un ejemplar de una población aislada de una plaga detectada recientemente y la cual se espera sobreviva en el futuro inmediato y cuya identificación ha sido confirmada por el Laboratorio Oficial.        </w:t>
      </w:r>
    </w:p>
    <w:p w:rsidR="003C79C6" w:rsidRPr="00F139B4" w:rsidRDefault="003C79C6" w:rsidP="003C79C6">
      <w:pPr>
        <w:spacing w:after="0" w:line="240" w:lineRule="auto"/>
        <w:jc w:val="both"/>
        <w:rPr>
          <w:sz w:val="18"/>
          <w:szCs w:val="18"/>
        </w:rPr>
      </w:pPr>
      <w:r w:rsidRPr="00F139B4">
        <w:rPr>
          <w:sz w:val="18"/>
          <w:szCs w:val="18"/>
        </w:rPr>
        <w:t xml:space="preserve">        - Captura </w:t>
      </w:r>
      <w:r w:rsidR="00CF35B7" w:rsidRPr="00F139B4">
        <w:rPr>
          <w:sz w:val="18"/>
          <w:szCs w:val="18"/>
        </w:rPr>
        <w:t>simple:</w:t>
      </w:r>
      <w:r w:rsidRPr="00F139B4">
        <w:rPr>
          <w:sz w:val="18"/>
          <w:szCs w:val="18"/>
        </w:rPr>
        <w:t xml:space="preserve"> captura de sólo un ejemplar macho o una hembra no inseminada.        </w:t>
      </w:r>
    </w:p>
    <w:p w:rsidR="003C79C6" w:rsidRPr="00F139B4" w:rsidRDefault="003C79C6" w:rsidP="003C79C6">
      <w:pPr>
        <w:spacing w:after="0" w:line="240" w:lineRule="auto"/>
        <w:jc w:val="both"/>
        <w:rPr>
          <w:sz w:val="18"/>
          <w:szCs w:val="18"/>
        </w:rPr>
      </w:pPr>
      <w:r w:rsidRPr="00F139B4">
        <w:rPr>
          <w:sz w:val="18"/>
          <w:szCs w:val="18"/>
        </w:rPr>
        <w:t xml:space="preserve">        - Brote confirmado erradicado: cuando el nivel poblacional del insecto es reducido a cero. Como "Declaración Oficial de la Erradicación", se entenderá cuando se acumulen tres ciclos de vida teóricos de desarrollo del insecto, definidos mediante días grados sin capturas de Mosca de la Fruta (Ceratitis capitata).        </w:t>
      </w:r>
    </w:p>
    <w:p w:rsidR="003C79C6" w:rsidRPr="00F139B4" w:rsidRDefault="003C79C6" w:rsidP="003C79C6">
      <w:pPr>
        <w:spacing w:after="0" w:line="240" w:lineRule="auto"/>
        <w:jc w:val="both"/>
        <w:rPr>
          <w:sz w:val="18"/>
          <w:szCs w:val="18"/>
        </w:rPr>
      </w:pPr>
      <w:r w:rsidRPr="00F139B4">
        <w:rPr>
          <w:sz w:val="18"/>
          <w:szCs w:val="18"/>
        </w:rPr>
        <w:t xml:space="preserve">        - Captura simple eliminada: se considera cuando finalicen oficialmente las actividades de vigilancia generadas por la captura simple, que equivalen a dos ciclos vitales teóricos de desarrollo del insecto.        </w:t>
      </w:r>
    </w:p>
    <w:p w:rsidR="003C79C6" w:rsidRPr="00F139B4" w:rsidRDefault="003C79C6" w:rsidP="003C79C6">
      <w:pPr>
        <w:spacing w:after="0" w:line="240" w:lineRule="auto"/>
        <w:jc w:val="both"/>
        <w:rPr>
          <w:sz w:val="18"/>
          <w:szCs w:val="18"/>
        </w:rPr>
      </w:pPr>
      <w:r w:rsidRPr="00F139B4">
        <w:rPr>
          <w:sz w:val="18"/>
          <w:szCs w:val="18"/>
        </w:rPr>
        <w:t xml:space="preserve">        - Período de Pre-oviposición: días que transcurren desde la emergencia del insecto como adulto desde la pupa, hasta el momento en que realiza la primera postura de huevos. Se entenderá por Mosca de la Fruta a la especie Ceratitis capitata (Wied).        </w:t>
      </w:r>
    </w:p>
    <w:p w:rsidR="003C79C6" w:rsidRPr="00F139B4" w:rsidRDefault="003C79C6" w:rsidP="003C79C6">
      <w:pPr>
        <w:spacing w:after="0" w:line="240" w:lineRule="auto"/>
        <w:jc w:val="both"/>
        <w:rPr>
          <w:sz w:val="18"/>
          <w:szCs w:val="18"/>
        </w:rPr>
      </w:pPr>
      <w:r w:rsidRPr="00F139B4">
        <w:rPr>
          <w:sz w:val="18"/>
          <w:szCs w:val="18"/>
        </w:rPr>
        <w:t xml:space="preserve">        Se contabilizarán los Brotes y las Capturas simples detectadas entre el 01 de enero y el 31 de marzo del año t y entre 01 de abril y 31 de diciembre del año t-1, cuya última captura o detección de estado inmaduro haya ocurrido antes del 31 de marzo del año t. Eventos detectados entre el 01 de abril y 31 de diciembre del año t y eventos con fecha de última captura posterior al 31 de marzo del año t serán </w:t>
      </w:r>
      <w:r w:rsidR="00CF35B7" w:rsidRPr="00F139B4">
        <w:rPr>
          <w:sz w:val="18"/>
          <w:szCs w:val="18"/>
        </w:rPr>
        <w:t>contabilizados</w:t>
      </w:r>
      <w:r w:rsidRPr="00F139B4">
        <w:rPr>
          <w:sz w:val="18"/>
          <w:szCs w:val="18"/>
        </w:rPr>
        <w:t xml:space="preserve"> al año t+1, excepto que, por razones climatológicas (por una primavera o verano adelantado) logre acumular 325,2 días grados en el mismo año, sumado a los días de pre-oviposición (5, 10 o 15 días), entonces se ingresará este brote en el año t y no pasará al año siguiente.</w:t>
      </w:r>
    </w:p>
    <w:p w:rsidR="000E69D4" w:rsidRPr="00F139B4" w:rsidRDefault="000E69D4" w:rsidP="000275E2">
      <w:pPr>
        <w:spacing w:after="0" w:line="240" w:lineRule="auto"/>
        <w:jc w:val="both"/>
        <w:rPr>
          <w:sz w:val="18"/>
          <w:szCs w:val="18"/>
        </w:rPr>
      </w:pPr>
    </w:p>
    <w:p w:rsidR="005B4399" w:rsidRPr="00F139B4" w:rsidRDefault="008A7822" w:rsidP="005B4399">
      <w:pPr>
        <w:spacing w:after="0" w:line="240" w:lineRule="auto"/>
        <w:jc w:val="both"/>
        <w:rPr>
          <w:sz w:val="18"/>
          <w:szCs w:val="18"/>
        </w:rPr>
      </w:pPr>
      <w:r w:rsidRPr="00F139B4">
        <w:rPr>
          <w:sz w:val="18"/>
          <w:szCs w:val="18"/>
        </w:rPr>
        <w:t>7</w:t>
      </w:r>
      <w:r w:rsidR="000275E2" w:rsidRPr="00F139B4">
        <w:rPr>
          <w:sz w:val="18"/>
          <w:szCs w:val="18"/>
        </w:rPr>
        <w:t>.</w:t>
      </w:r>
      <w:r w:rsidRPr="00F139B4">
        <w:rPr>
          <w:sz w:val="18"/>
          <w:szCs w:val="18"/>
        </w:rPr>
        <w:t>-</w:t>
      </w:r>
      <w:r w:rsidR="005B4399" w:rsidRPr="00F139B4">
        <w:t xml:space="preserve"> </w:t>
      </w:r>
      <w:r w:rsidR="005B4399" w:rsidRPr="00F139B4">
        <w:rPr>
          <w:sz w:val="18"/>
          <w:szCs w:val="18"/>
        </w:rPr>
        <w:t xml:space="preserve">Se desagregan, las fiscalizaciones estimadas a realizar en 2020 por normativa.        </w:t>
      </w:r>
    </w:p>
    <w:p w:rsidR="005B4399" w:rsidRPr="00F139B4" w:rsidRDefault="005B4399" w:rsidP="005B4399">
      <w:pPr>
        <w:spacing w:after="0" w:line="240" w:lineRule="auto"/>
        <w:jc w:val="both"/>
        <w:rPr>
          <w:sz w:val="18"/>
          <w:szCs w:val="18"/>
        </w:rPr>
      </w:pPr>
      <w:r w:rsidRPr="00F139B4">
        <w:rPr>
          <w:sz w:val="18"/>
          <w:szCs w:val="18"/>
        </w:rPr>
        <w:t xml:space="preserve">        1. Sistema nacional de certificación de productos orgánicos agrícolas.</w:t>
      </w:r>
    </w:p>
    <w:p w:rsidR="005B4399" w:rsidRPr="00F139B4" w:rsidRDefault="005B4399" w:rsidP="005B4399">
      <w:pPr>
        <w:spacing w:after="0" w:line="240" w:lineRule="auto"/>
        <w:jc w:val="both"/>
        <w:rPr>
          <w:sz w:val="18"/>
          <w:szCs w:val="18"/>
        </w:rPr>
      </w:pPr>
      <w:r w:rsidRPr="00F139B4">
        <w:rPr>
          <w:sz w:val="18"/>
          <w:szCs w:val="18"/>
        </w:rPr>
        <w:t xml:space="preserve">        2. Tenedores de fauna silvestre. </w:t>
      </w:r>
    </w:p>
    <w:p w:rsidR="005B4399" w:rsidRPr="00F139B4" w:rsidRDefault="005B4399" w:rsidP="005B4399">
      <w:pPr>
        <w:spacing w:after="0" w:line="240" w:lineRule="auto"/>
        <w:jc w:val="both"/>
        <w:rPr>
          <w:sz w:val="18"/>
          <w:szCs w:val="18"/>
        </w:rPr>
      </w:pPr>
      <w:r w:rsidRPr="00F139B4">
        <w:rPr>
          <w:sz w:val="18"/>
          <w:szCs w:val="18"/>
        </w:rPr>
        <w:t xml:space="preserve">        3. Comerciantes de semillas y viveros de plantas.</w:t>
      </w:r>
    </w:p>
    <w:p w:rsidR="005B4399" w:rsidRPr="00F139B4" w:rsidRDefault="005B4399" w:rsidP="005B4399">
      <w:pPr>
        <w:spacing w:after="0" w:line="240" w:lineRule="auto"/>
        <w:jc w:val="both"/>
        <w:rPr>
          <w:sz w:val="18"/>
          <w:szCs w:val="18"/>
        </w:rPr>
      </w:pPr>
      <w:r w:rsidRPr="00F139B4">
        <w:rPr>
          <w:sz w:val="18"/>
          <w:szCs w:val="18"/>
        </w:rPr>
        <w:t xml:space="preserve">        4. Uso y aplicación de plaguicidas.   </w:t>
      </w:r>
    </w:p>
    <w:p w:rsidR="005B4399" w:rsidRPr="00F139B4" w:rsidRDefault="005B4399" w:rsidP="005B4399">
      <w:pPr>
        <w:spacing w:after="0" w:line="240" w:lineRule="auto"/>
        <w:jc w:val="both"/>
        <w:rPr>
          <w:sz w:val="18"/>
          <w:szCs w:val="18"/>
        </w:rPr>
      </w:pPr>
      <w:r w:rsidRPr="00F139B4">
        <w:rPr>
          <w:sz w:val="18"/>
          <w:szCs w:val="18"/>
        </w:rPr>
        <w:t xml:space="preserve">        5. Comercio de plaguicidas y fertilizantes.      </w:t>
      </w:r>
    </w:p>
    <w:p w:rsidR="005B4399" w:rsidRPr="00F139B4" w:rsidRDefault="005B4399" w:rsidP="005B4399">
      <w:pPr>
        <w:spacing w:after="0" w:line="240" w:lineRule="auto"/>
        <w:jc w:val="both"/>
        <w:rPr>
          <w:sz w:val="18"/>
          <w:szCs w:val="18"/>
        </w:rPr>
      </w:pPr>
      <w:r w:rsidRPr="00F139B4">
        <w:rPr>
          <w:sz w:val="18"/>
          <w:szCs w:val="18"/>
        </w:rPr>
        <w:t xml:space="preserve">        6. Viveros - Ley de Protección Agrícola.     </w:t>
      </w:r>
    </w:p>
    <w:p w:rsidR="005B4399" w:rsidRPr="00F139B4" w:rsidRDefault="005B4399" w:rsidP="005B4399">
      <w:pPr>
        <w:spacing w:after="0" w:line="240" w:lineRule="auto"/>
        <w:jc w:val="both"/>
        <w:rPr>
          <w:sz w:val="18"/>
          <w:szCs w:val="18"/>
        </w:rPr>
      </w:pPr>
      <w:r w:rsidRPr="00F139B4">
        <w:rPr>
          <w:sz w:val="18"/>
          <w:szCs w:val="18"/>
        </w:rPr>
        <w:t xml:space="preserve">        7. Depósitos de plantas - Ley de Protección Agrícola.     </w:t>
      </w:r>
    </w:p>
    <w:p w:rsidR="005B4399" w:rsidRPr="00F139B4" w:rsidRDefault="005B4399" w:rsidP="005B4399">
      <w:pPr>
        <w:spacing w:after="0" w:line="240" w:lineRule="auto"/>
        <w:jc w:val="both"/>
        <w:rPr>
          <w:sz w:val="18"/>
          <w:szCs w:val="18"/>
        </w:rPr>
      </w:pPr>
      <w:r w:rsidRPr="00F139B4">
        <w:rPr>
          <w:sz w:val="18"/>
          <w:szCs w:val="18"/>
        </w:rPr>
        <w:t xml:space="preserve">        8. Productores de bebidas alcohólicas.  </w:t>
      </w:r>
    </w:p>
    <w:p w:rsidR="005B4399" w:rsidRPr="00F139B4" w:rsidRDefault="005B4399" w:rsidP="005B4399">
      <w:pPr>
        <w:spacing w:after="0" w:line="240" w:lineRule="auto"/>
        <w:jc w:val="both"/>
        <w:rPr>
          <w:sz w:val="18"/>
          <w:szCs w:val="18"/>
        </w:rPr>
      </w:pPr>
      <w:r w:rsidRPr="00F139B4">
        <w:rPr>
          <w:sz w:val="18"/>
          <w:szCs w:val="18"/>
        </w:rPr>
        <w:t xml:space="preserve">        9. Distribuidores de bebidas alcohólicas.        </w:t>
      </w:r>
    </w:p>
    <w:p w:rsidR="005B4399" w:rsidRPr="00F139B4" w:rsidRDefault="005B4399" w:rsidP="005B4399">
      <w:pPr>
        <w:spacing w:after="0" w:line="240" w:lineRule="auto"/>
        <w:jc w:val="both"/>
        <w:rPr>
          <w:sz w:val="18"/>
          <w:szCs w:val="18"/>
        </w:rPr>
      </w:pPr>
      <w:r w:rsidRPr="00F139B4">
        <w:rPr>
          <w:sz w:val="18"/>
          <w:szCs w:val="18"/>
        </w:rPr>
        <w:t xml:space="preserve">        10. Otras instancias de bebidas alcohólicas.     </w:t>
      </w:r>
    </w:p>
    <w:p w:rsidR="005B4399" w:rsidRPr="00F139B4" w:rsidRDefault="005B4399" w:rsidP="005B4399">
      <w:pPr>
        <w:spacing w:after="0" w:line="240" w:lineRule="auto"/>
        <w:jc w:val="both"/>
        <w:rPr>
          <w:sz w:val="18"/>
          <w:szCs w:val="18"/>
        </w:rPr>
      </w:pPr>
      <w:r w:rsidRPr="00F139B4">
        <w:rPr>
          <w:sz w:val="18"/>
          <w:szCs w:val="18"/>
        </w:rPr>
        <w:t xml:space="preserve">        11. Ley de carnes.</w:t>
      </w:r>
    </w:p>
    <w:p w:rsidR="005B4399" w:rsidRPr="00F139B4" w:rsidRDefault="005B4399" w:rsidP="005B4399">
      <w:pPr>
        <w:spacing w:after="0" w:line="240" w:lineRule="auto"/>
        <w:jc w:val="both"/>
        <w:rPr>
          <w:sz w:val="18"/>
          <w:szCs w:val="18"/>
        </w:rPr>
      </w:pPr>
      <w:r w:rsidRPr="00F139B4">
        <w:rPr>
          <w:sz w:val="18"/>
          <w:szCs w:val="18"/>
        </w:rPr>
        <w:t xml:space="preserve">        12. Reglamento de productos farmacéuticos de uso exclusivamente veterinario.    </w:t>
      </w:r>
    </w:p>
    <w:p w:rsidR="005B4399" w:rsidRPr="00F139B4" w:rsidRDefault="005B4399" w:rsidP="005B4399">
      <w:pPr>
        <w:spacing w:after="0" w:line="240" w:lineRule="auto"/>
        <w:jc w:val="both"/>
        <w:rPr>
          <w:sz w:val="18"/>
          <w:szCs w:val="18"/>
        </w:rPr>
      </w:pPr>
      <w:r w:rsidRPr="00F139B4">
        <w:rPr>
          <w:sz w:val="18"/>
          <w:szCs w:val="18"/>
        </w:rPr>
        <w:t xml:space="preserve">        13. Reglamento de Alimentos para animales.  </w:t>
      </w:r>
    </w:p>
    <w:p w:rsidR="005B4399" w:rsidRPr="00F139B4" w:rsidRDefault="005B4399" w:rsidP="005B4399">
      <w:pPr>
        <w:spacing w:after="0" w:line="240" w:lineRule="auto"/>
        <w:jc w:val="both"/>
        <w:rPr>
          <w:sz w:val="18"/>
          <w:szCs w:val="18"/>
        </w:rPr>
      </w:pPr>
      <w:r w:rsidRPr="00F139B4">
        <w:rPr>
          <w:sz w:val="18"/>
          <w:szCs w:val="18"/>
        </w:rPr>
        <w:t xml:space="preserve">        14. Material de OGM (Organismo Genéricamente Modificado) fiscalizado.    </w:t>
      </w:r>
    </w:p>
    <w:p w:rsidR="00A73A3C" w:rsidRPr="00F139B4" w:rsidRDefault="000275E2" w:rsidP="005B4399">
      <w:pPr>
        <w:spacing w:after="0" w:line="240" w:lineRule="auto"/>
        <w:jc w:val="both"/>
        <w:rPr>
          <w:sz w:val="18"/>
          <w:szCs w:val="18"/>
        </w:rPr>
      </w:pPr>
      <w:r w:rsidRPr="00F139B4">
        <w:rPr>
          <w:sz w:val="18"/>
          <w:szCs w:val="18"/>
        </w:rPr>
        <w:t xml:space="preserve"> </w:t>
      </w:r>
    </w:p>
    <w:p w:rsidR="00112899" w:rsidRPr="00F139B4" w:rsidRDefault="00A73A3C" w:rsidP="00112899">
      <w:pPr>
        <w:spacing w:after="0" w:line="240" w:lineRule="auto"/>
        <w:jc w:val="both"/>
        <w:rPr>
          <w:sz w:val="18"/>
          <w:szCs w:val="18"/>
        </w:rPr>
      </w:pPr>
      <w:r w:rsidRPr="00F139B4">
        <w:rPr>
          <w:sz w:val="18"/>
          <w:szCs w:val="18"/>
        </w:rPr>
        <w:t xml:space="preserve">8.-  </w:t>
      </w:r>
      <w:r w:rsidR="00112899" w:rsidRPr="00F139B4">
        <w:rPr>
          <w:sz w:val="18"/>
          <w:szCs w:val="18"/>
        </w:rPr>
        <w:t>Los certificados fito y zoosanitarios de exportación reemitidos por causa SAG, corresponden a aquellos certificados detectados tanto en Chile como en el país de destino con faltas por causas atribuibles al SAG y que, por tal razón, deben ser reemitidos. Se acotan las reemisiones que sean consideradas en la medición a aquellos errores que sean solo de fondo y no de forma.</w:t>
      </w:r>
    </w:p>
    <w:p w:rsidR="00112899" w:rsidRPr="00F139B4" w:rsidRDefault="00112899" w:rsidP="00112899">
      <w:pPr>
        <w:spacing w:after="0" w:line="240" w:lineRule="auto"/>
        <w:jc w:val="both"/>
        <w:rPr>
          <w:sz w:val="18"/>
          <w:szCs w:val="18"/>
        </w:rPr>
      </w:pPr>
      <w:r w:rsidRPr="00F139B4">
        <w:rPr>
          <w:sz w:val="18"/>
          <w:szCs w:val="18"/>
        </w:rPr>
        <w:t>Por su parte, los documentos aclaratorios emitidos por causa SAG asociados al proceso de certificación de exportaciones, corresponden a aquellos documentos que son emitidos en caso que no se pida la reemisión de un certificado y que permiten liberar el embarque en destino, tales como carta aclaratoria, adenda, carta rectificatoria, etc.</w:t>
      </w:r>
    </w:p>
    <w:p w:rsidR="00112899" w:rsidRPr="00F139B4" w:rsidRDefault="00112899" w:rsidP="00112899">
      <w:pPr>
        <w:spacing w:after="0" w:line="240" w:lineRule="auto"/>
        <w:jc w:val="both"/>
        <w:rPr>
          <w:sz w:val="18"/>
          <w:szCs w:val="18"/>
        </w:rPr>
      </w:pPr>
      <w:r w:rsidRPr="00F139B4">
        <w:rPr>
          <w:sz w:val="18"/>
          <w:szCs w:val="18"/>
        </w:rPr>
        <w:t>En ambos casos, se consideran como causas atribuibles al SAG:</w:t>
      </w:r>
    </w:p>
    <w:p w:rsidR="00112899" w:rsidRPr="00F139B4" w:rsidRDefault="00112899" w:rsidP="00112899">
      <w:pPr>
        <w:spacing w:after="0" w:line="240" w:lineRule="auto"/>
        <w:jc w:val="both"/>
        <w:rPr>
          <w:sz w:val="18"/>
          <w:szCs w:val="18"/>
        </w:rPr>
      </w:pPr>
      <w:r w:rsidRPr="00F139B4">
        <w:rPr>
          <w:sz w:val="18"/>
          <w:szCs w:val="18"/>
        </w:rPr>
        <w:t>a) Errores de escritura (a excepción de datos erróneos entregados por el privado en solicitud).</w:t>
      </w:r>
    </w:p>
    <w:p w:rsidR="00112899" w:rsidRPr="00F139B4" w:rsidRDefault="00112899" w:rsidP="00112899">
      <w:pPr>
        <w:spacing w:after="0" w:line="240" w:lineRule="auto"/>
        <w:jc w:val="both"/>
        <w:rPr>
          <w:sz w:val="18"/>
          <w:szCs w:val="18"/>
        </w:rPr>
      </w:pPr>
      <w:r w:rsidRPr="00F139B4">
        <w:rPr>
          <w:sz w:val="18"/>
          <w:szCs w:val="18"/>
        </w:rPr>
        <w:lastRenderedPageBreak/>
        <w:t>b) Certificado Fitosanitario o Zoosanitario de Exportación o sus anexos incompletos.</w:t>
      </w:r>
    </w:p>
    <w:p w:rsidR="00112899" w:rsidRPr="00F139B4" w:rsidRDefault="00112899" w:rsidP="00112899">
      <w:pPr>
        <w:spacing w:after="0" w:line="240" w:lineRule="auto"/>
        <w:jc w:val="both"/>
        <w:rPr>
          <w:sz w:val="18"/>
          <w:szCs w:val="18"/>
        </w:rPr>
      </w:pPr>
      <w:r w:rsidRPr="00F139B4">
        <w:rPr>
          <w:sz w:val="18"/>
          <w:szCs w:val="18"/>
        </w:rPr>
        <w:t>c) Formato inadecuado del Certificado Zoosanitario de Exportación (Ej. idioma o producto distinto).</w:t>
      </w:r>
    </w:p>
    <w:p w:rsidR="00112899" w:rsidRPr="00F139B4" w:rsidRDefault="00112899" w:rsidP="00112899">
      <w:pPr>
        <w:spacing w:after="0" w:line="240" w:lineRule="auto"/>
        <w:jc w:val="both"/>
        <w:rPr>
          <w:sz w:val="18"/>
          <w:szCs w:val="18"/>
        </w:rPr>
      </w:pPr>
      <w:r w:rsidRPr="00F139B4">
        <w:rPr>
          <w:sz w:val="18"/>
          <w:szCs w:val="18"/>
        </w:rPr>
        <w:t>d) Incumplimiento del producto o la partida en cuanto a requisitos sanitarios a certificar.</w:t>
      </w:r>
    </w:p>
    <w:p w:rsidR="000275E2" w:rsidRPr="00F139B4" w:rsidRDefault="000275E2" w:rsidP="000275E2">
      <w:pPr>
        <w:spacing w:after="0" w:line="240" w:lineRule="auto"/>
        <w:jc w:val="both"/>
        <w:rPr>
          <w:sz w:val="18"/>
          <w:szCs w:val="18"/>
        </w:rPr>
      </w:pPr>
    </w:p>
    <w:p w:rsidR="000275E2" w:rsidRPr="00F139B4" w:rsidRDefault="00A73A3C" w:rsidP="000275E2">
      <w:pPr>
        <w:spacing w:after="0" w:line="240" w:lineRule="auto"/>
        <w:jc w:val="both"/>
        <w:rPr>
          <w:sz w:val="18"/>
          <w:szCs w:val="18"/>
        </w:rPr>
      </w:pPr>
      <w:r w:rsidRPr="00F139B4">
        <w:rPr>
          <w:sz w:val="18"/>
          <w:szCs w:val="18"/>
        </w:rPr>
        <w:t>9</w:t>
      </w:r>
      <w:r w:rsidR="000275E2" w:rsidRPr="00F139B4">
        <w:rPr>
          <w:sz w:val="18"/>
          <w:szCs w:val="18"/>
        </w:rPr>
        <w:t>.</w:t>
      </w:r>
      <w:r w:rsidR="008A7822" w:rsidRPr="00F139B4">
        <w:rPr>
          <w:sz w:val="18"/>
          <w:szCs w:val="18"/>
        </w:rPr>
        <w:t>-</w:t>
      </w:r>
      <w:r w:rsidR="00691C83">
        <w:rPr>
          <w:sz w:val="18"/>
          <w:szCs w:val="18"/>
        </w:rPr>
        <w:t xml:space="preserve"> Hay 9</w:t>
      </w:r>
      <w:r w:rsidR="000275E2" w:rsidRPr="00F139B4">
        <w:rPr>
          <w:sz w:val="18"/>
          <w:szCs w:val="18"/>
        </w:rPr>
        <w:t xml:space="preserve"> procesos o canales de atención con medición de la satisfacción de clientes: Certificación de productos pecuarios para la exportación; Certificación fitosanitaria para la exportación de productos agrícolas y forestales; Certificación varietal de semillas para la exportación; Registro de productos farmacéuticos de uso exclusivamente veterinario; Autorización de Plaguicidas;  Registro de Variedades Protegidas; Sistema de Incentivos para la Recuperación de Suelos Degradados;  Sistema integrado de atención ciudadana (Atención presencial); y Sistema integrad</w:t>
      </w:r>
      <w:bookmarkStart w:id="0" w:name="_GoBack"/>
      <w:bookmarkEnd w:id="0"/>
      <w:r w:rsidR="000275E2" w:rsidRPr="00F139B4">
        <w:rPr>
          <w:sz w:val="18"/>
          <w:szCs w:val="18"/>
        </w:rPr>
        <w:t xml:space="preserve">o de atención ciudadana (Call center). </w:t>
      </w:r>
    </w:p>
    <w:p w:rsidR="000275E2" w:rsidRPr="00F139B4" w:rsidRDefault="000275E2" w:rsidP="000275E2">
      <w:pPr>
        <w:spacing w:after="0" w:line="240" w:lineRule="auto"/>
        <w:jc w:val="both"/>
        <w:rPr>
          <w:sz w:val="18"/>
          <w:szCs w:val="18"/>
        </w:rPr>
      </w:pPr>
    </w:p>
    <w:p w:rsidR="00A73A3C" w:rsidRPr="00F139B4" w:rsidRDefault="00A73A3C" w:rsidP="00A73A3C">
      <w:pPr>
        <w:spacing w:after="0" w:line="240" w:lineRule="auto"/>
        <w:jc w:val="both"/>
        <w:rPr>
          <w:sz w:val="18"/>
          <w:szCs w:val="18"/>
        </w:rPr>
      </w:pPr>
      <w:r w:rsidRPr="00F139B4">
        <w:rPr>
          <w:sz w:val="18"/>
          <w:szCs w:val="18"/>
        </w:rPr>
        <w:t>10</w:t>
      </w:r>
      <w:r w:rsidR="000275E2" w:rsidRPr="00F139B4">
        <w:rPr>
          <w:sz w:val="18"/>
          <w:szCs w:val="18"/>
        </w:rPr>
        <w:t>.</w:t>
      </w:r>
      <w:r w:rsidR="008A7822" w:rsidRPr="00F139B4">
        <w:rPr>
          <w:sz w:val="18"/>
          <w:szCs w:val="18"/>
        </w:rPr>
        <w:t>-</w:t>
      </w:r>
      <w:r w:rsidR="000275E2" w:rsidRPr="00F139B4">
        <w:rPr>
          <w:sz w:val="18"/>
          <w:szCs w:val="18"/>
        </w:rPr>
        <w:t xml:space="preserve"> </w:t>
      </w:r>
      <w:r w:rsidRPr="00F139B4">
        <w:rPr>
          <w:sz w:val="18"/>
          <w:szCs w:val="18"/>
        </w:rPr>
        <w:t>Este indicador comprende los siguientes sub indicadores:</w:t>
      </w:r>
    </w:p>
    <w:p w:rsidR="00A73A3C" w:rsidRPr="00F139B4" w:rsidRDefault="00A73A3C" w:rsidP="00A73A3C">
      <w:pPr>
        <w:spacing w:after="0" w:line="240" w:lineRule="auto"/>
        <w:jc w:val="both"/>
        <w:rPr>
          <w:sz w:val="18"/>
          <w:szCs w:val="18"/>
        </w:rPr>
      </w:pPr>
      <w:r w:rsidRPr="00F139B4">
        <w:rPr>
          <w:sz w:val="18"/>
          <w:szCs w:val="18"/>
        </w:rPr>
        <w:t>Numerador: Número total de solicitudes de autorización, renovación o modificación de plaguicidas en proceso, que a la fecha de la medición están dentro del plazo.</w:t>
      </w:r>
    </w:p>
    <w:p w:rsidR="00D95CE9" w:rsidRPr="00F139B4" w:rsidRDefault="00A73A3C" w:rsidP="00A73A3C">
      <w:pPr>
        <w:spacing w:after="0" w:line="240" w:lineRule="auto"/>
        <w:jc w:val="both"/>
        <w:rPr>
          <w:sz w:val="18"/>
          <w:szCs w:val="18"/>
        </w:rPr>
      </w:pPr>
      <w:r w:rsidRPr="00F139B4">
        <w:rPr>
          <w:sz w:val="18"/>
          <w:szCs w:val="18"/>
        </w:rPr>
        <w:t>Denominador: Número total de solicitudes de autorización, renovación o modificación de plaguicidas en proceso a la fecha de la medición.</w:t>
      </w:r>
    </w:p>
    <w:p w:rsidR="000275E2" w:rsidRPr="00F139B4" w:rsidRDefault="000275E2" w:rsidP="000275E2">
      <w:pPr>
        <w:spacing w:after="0" w:line="240" w:lineRule="auto"/>
        <w:jc w:val="both"/>
        <w:rPr>
          <w:sz w:val="18"/>
          <w:szCs w:val="18"/>
        </w:rPr>
      </w:pPr>
    </w:p>
    <w:p w:rsidR="003B4F0F" w:rsidRPr="00F139B4" w:rsidRDefault="003B4F0F" w:rsidP="000275E2">
      <w:pPr>
        <w:spacing w:after="0" w:line="240" w:lineRule="auto"/>
        <w:jc w:val="both"/>
        <w:rPr>
          <w:sz w:val="18"/>
          <w:szCs w:val="18"/>
        </w:rPr>
      </w:pPr>
    </w:p>
    <w:p w:rsidR="003B4F0F" w:rsidRPr="00F139B4" w:rsidRDefault="003B4F0F" w:rsidP="000275E2">
      <w:pPr>
        <w:spacing w:after="0" w:line="240" w:lineRule="auto"/>
        <w:jc w:val="both"/>
        <w:rPr>
          <w:sz w:val="18"/>
          <w:szCs w:val="18"/>
        </w:rPr>
      </w:pPr>
    </w:p>
    <w:p w:rsidR="003B4F0F" w:rsidRPr="00F139B4" w:rsidRDefault="003B4F0F" w:rsidP="000275E2">
      <w:pPr>
        <w:spacing w:after="0" w:line="240" w:lineRule="auto"/>
        <w:jc w:val="both"/>
        <w:rPr>
          <w:sz w:val="18"/>
          <w:szCs w:val="18"/>
        </w:rPr>
      </w:pPr>
    </w:p>
    <w:p w:rsidR="0053579B" w:rsidRPr="00F139B4" w:rsidRDefault="0053579B" w:rsidP="000275E2">
      <w:pPr>
        <w:spacing w:after="0" w:line="240" w:lineRule="auto"/>
        <w:jc w:val="both"/>
        <w:rPr>
          <w:sz w:val="18"/>
          <w:szCs w:val="18"/>
        </w:rPr>
      </w:pPr>
    </w:p>
    <w:sectPr w:rsidR="0053579B" w:rsidRPr="00F139B4" w:rsidSect="00D46120">
      <w:headerReference w:type="default" r:id="rId7"/>
      <w:type w:val="continuous"/>
      <w:pgSz w:w="15840" w:h="12240" w:orient="landscape" w:code="1"/>
      <w:pgMar w:top="1701" w:right="1418" w:bottom="1701"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69E" w:rsidRDefault="0036769E" w:rsidP="00E47A3F">
      <w:pPr>
        <w:spacing w:after="0" w:line="240" w:lineRule="auto"/>
      </w:pPr>
      <w:r>
        <w:separator/>
      </w:r>
    </w:p>
  </w:endnote>
  <w:endnote w:type="continuationSeparator" w:id="0">
    <w:p w:rsidR="0036769E" w:rsidRDefault="0036769E" w:rsidP="00E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69E" w:rsidRDefault="0036769E" w:rsidP="00E47A3F">
      <w:pPr>
        <w:spacing w:after="0" w:line="240" w:lineRule="auto"/>
      </w:pPr>
      <w:r>
        <w:separator/>
      </w:r>
    </w:p>
  </w:footnote>
  <w:footnote w:type="continuationSeparator" w:id="0">
    <w:p w:rsidR="0036769E" w:rsidRDefault="0036769E" w:rsidP="00E47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120" w:rsidRPr="003D29AA" w:rsidRDefault="006F4E24">
    <w:pPr>
      <w:pStyle w:val="Encabezado"/>
      <w:rPr>
        <w:b/>
        <w:color w:val="FF0000"/>
        <w:sz w:val="24"/>
        <w:szCs w:val="24"/>
      </w:rPr>
    </w:pPr>
    <w:r w:rsidRPr="0095353E">
      <w:rPr>
        <w:rFonts w:ascii="Times New Roman" w:eastAsia="Times New Roman" w:hAnsi="Times New Roman" w:cs="Times New Roman"/>
        <w:noProof/>
        <w:color w:val="000000"/>
        <w:sz w:val="20"/>
        <w:szCs w:val="20"/>
        <w:lang w:eastAsia="es-CL"/>
      </w:rPr>
      <w:drawing>
        <wp:inline distT="0" distB="0" distL="0" distR="0" wp14:anchorId="43367E04" wp14:editId="1C8D45BC">
          <wp:extent cx="885825" cy="790575"/>
          <wp:effectExtent l="0" t="0" r="9525" b="9525"/>
          <wp:docPr id="7" name="Imagen 7" descr="Descripción: SAG_logocolor_pequen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SAG_logocolor_pequen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790575"/>
                  </a:xfrm>
                  <a:prstGeom prst="rect">
                    <a:avLst/>
                  </a:prstGeom>
                  <a:noFill/>
                  <a:ln>
                    <a:noFill/>
                  </a:ln>
                </pic:spPr>
              </pic:pic>
            </a:graphicData>
          </a:graphic>
        </wp:inline>
      </w:drawing>
    </w:r>
    <w:r>
      <w:ptab w:relativeTo="margin" w:alignment="center" w:leader="none"/>
    </w:r>
    <w:r w:rsidRPr="000275E2">
      <w:rPr>
        <w:b/>
        <w:sz w:val="24"/>
        <w:szCs w:val="24"/>
      </w:rPr>
      <w:t xml:space="preserve">PLAN INSTITUCIONAL </w:t>
    </w:r>
    <w:r w:rsidR="00B0209D">
      <w:rPr>
        <w:b/>
        <w:sz w:val="24"/>
        <w:szCs w:val="24"/>
      </w:rPr>
      <w:t>ANUAL</w:t>
    </w:r>
    <w:r w:rsidR="00B0209D" w:rsidRPr="001A6118">
      <w:rPr>
        <w:b/>
        <w:sz w:val="24"/>
        <w:szCs w:val="24"/>
      </w:rPr>
      <w:t xml:space="preserve"> </w:t>
    </w:r>
    <w:r w:rsidR="00E65082" w:rsidRPr="001A6118">
      <w:rPr>
        <w:b/>
        <w:sz w:val="24"/>
        <w:szCs w:val="24"/>
      </w:rPr>
      <w:t>2020</w:t>
    </w:r>
    <w:r w:rsidRPr="001A6118">
      <w:rPr>
        <w:b/>
        <w:sz w:val="24"/>
        <w:szCs w:val="24"/>
      </w:rPr>
      <w:t xml:space="preserve"> </w:t>
    </w:r>
  </w:p>
  <w:p w:rsidR="00E47A3F" w:rsidRDefault="00D46120">
    <w:pPr>
      <w:pStyle w:val="Encabezado"/>
    </w:pPr>
    <w:r>
      <w:rPr>
        <w:b/>
        <w:sz w:val="24"/>
        <w:szCs w:val="24"/>
      </w:rPr>
      <w:tab/>
      <w:t xml:space="preserve">                                                                             </w:t>
    </w:r>
    <w:r w:rsidR="006F4E24" w:rsidRPr="00A340FA">
      <w:rPr>
        <w:b/>
        <w:sz w:val="24"/>
        <w:szCs w:val="24"/>
      </w:rPr>
      <w:t xml:space="preserve">SERVICIO </w:t>
    </w:r>
    <w:r w:rsidR="006F4E24" w:rsidRPr="000275E2">
      <w:rPr>
        <w:b/>
        <w:sz w:val="24"/>
        <w:szCs w:val="24"/>
      </w:rPr>
      <w:t>AGRÍCOLA Y GANADERO</w:t>
    </w:r>
    <w:r w:rsidR="006F4E24">
      <w:rPr>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C7"/>
    <w:rsid w:val="00002DA4"/>
    <w:rsid w:val="00010234"/>
    <w:rsid w:val="000275E2"/>
    <w:rsid w:val="00043E3B"/>
    <w:rsid w:val="00055F8E"/>
    <w:rsid w:val="000823C7"/>
    <w:rsid w:val="00095CCE"/>
    <w:rsid w:val="000E1093"/>
    <w:rsid w:val="000E69D4"/>
    <w:rsid w:val="00112889"/>
    <w:rsid w:val="00112899"/>
    <w:rsid w:val="001340A4"/>
    <w:rsid w:val="00142D58"/>
    <w:rsid w:val="00164E00"/>
    <w:rsid w:val="00183E43"/>
    <w:rsid w:val="00190457"/>
    <w:rsid w:val="001A6118"/>
    <w:rsid w:val="001D7FFB"/>
    <w:rsid w:val="001E1767"/>
    <w:rsid w:val="002069AE"/>
    <w:rsid w:val="0020709D"/>
    <w:rsid w:val="00215729"/>
    <w:rsid w:val="00232926"/>
    <w:rsid w:val="002457D0"/>
    <w:rsid w:val="00266C12"/>
    <w:rsid w:val="002750E1"/>
    <w:rsid w:val="002B2E44"/>
    <w:rsid w:val="002E0ACE"/>
    <w:rsid w:val="002E1A64"/>
    <w:rsid w:val="003025D9"/>
    <w:rsid w:val="0036769E"/>
    <w:rsid w:val="00383212"/>
    <w:rsid w:val="003A3373"/>
    <w:rsid w:val="003B4F0F"/>
    <w:rsid w:val="003C307B"/>
    <w:rsid w:val="003C79C6"/>
    <w:rsid w:val="003D29AA"/>
    <w:rsid w:val="00436774"/>
    <w:rsid w:val="00437414"/>
    <w:rsid w:val="00472737"/>
    <w:rsid w:val="00475523"/>
    <w:rsid w:val="004B1F37"/>
    <w:rsid w:val="004B4CE0"/>
    <w:rsid w:val="004C633A"/>
    <w:rsid w:val="004D5C60"/>
    <w:rsid w:val="0053579B"/>
    <w:rsid w:val="00557C14"/>
    <w:rsid w:val="00590DB4"/>
    <w:rsid w:val="005B4399"/>
    <w:rsid w:val="005C5D39"/>
    <w:rsid w:val="005F3177"/>
    <w:rsid w:val="00625163"/>
    <w:rsid w:val="006264DE"/>
    <w:rsid w:val="00631E2C"/>
    <w:rsid w:val="00647EA4"/>
    <w:rsid w:val="00691C83"/>
    <w:rsid w:val="006C4C23"/>
    <w:rsid w:val="006E294C"/>
    <w:rsid w:val="006E2E12"/>
    <w:rsid w:val="006E37DA"/>
    <w:rsid w:val="006F4E24"/>
    <w:rsid w:val="00710D95"/>
    <w:rsid w:val="007945E0"/>
    <w:rsid w:val="007A55DC"/>
    <w:rsid w:val="007B12F9"/>
    <w:rsid w:val="007D3635"/>
    <w:rsid w:val="007E00FA"/>
    <w:rsid w:val="008112C3"/>
    <w:rsid w:val="00882E42"/>
    <w:rsid w:val="0088409C"/>
    <w:rsid w:val="00892786"/>
    <w:rsid w:val="00894B52"/>
    <w:rsid w:val="008A7822"/>
    <w:rsid w:val="008D1248"/>
    <w:rsid w:val="008E1A94"/>
    <w:rsid w:val="0090026B"/>
    <w:rsid w:val="00900D99"/>
    <w:rsid w:val="009130F9"/>
    <w:rsid w:val="00920427"/>
    <w:rsid w:val="0092098B"/>
    <w:rsid w:val="00930FDA"/>
    <w:rsid w:val="00967A56"/>
    <w:rsid w:val="009850D0"/>
    <w:rsid w:val="00996A1E"/>
    <w:rsid w:val="009B4A65"/>
    <w:rsid w:val="009B69E3"/>
    <w:rsid w:val="00A340FA"/>
    <w:rsid w:val="00A65BB8"/>
    <w:rsid w:val="00A73A3C"/>
    <w:rsid w:val="00A7496B"/>
    <w:rsid w:val="00A96A6D"/>
    <w:rsid w:val="00B0209D"/>
    <w:rsid w:val="00B344B9"/>
    <w:rsid w:val="00B5616E"/>
    <w:rsid w:val="00BE078E"/>
    <w:rsid w:val="00C30CAA"/>
    <w:rsid w:val="00C327A1"/>
    <w:rsid w:val="00C817D7"/>
    <w:rsid w:val="00CE74DD"/>
    <w:rsid w:val="00CF35B7"/>
    <w:rsid w:val="00D108AA"/>
    <w:rsid w:val="00D14767"/>
    <w:rsid w:val="00D3561A"/>
    <w:rsid w:val="00D45C1B"/>
    <w:rsid w:val="00D46120"/>
    <w:rsid w:val="00D53E27"/>
    <w:rsid w:val="00D95CE9"/>
    <w:rsid w:val="00DA62A8"/>
    <w:rsid w:val="00DC7F68"/>
    <w:rsid w:val="00E23F5E"/>
    <w:rsid w:val="00E259D0"/>
    <w:rsid w:val="00E457FD"/>
    <w:rsid w:val="00E47A3F"/>
    <w:rsid w:val="00E65082"/>
    <w:rsid w:val="00E71059"/>
    <w:rsid w:val="00E9043A"/>
    <w:rsid w:val="00EC260E"/>
    <w:rsid w:val="00EF3C80"/>
    <w:rsid w:val="00F139B4"/>
    <w:rsid w:val="00F26F2C"/>
    <w:rsid w:val="00F77766"/>
    <w:rsid w:val="00F85935"/>
    <w:rsid w:val="00F923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8D028"/>
  <w15:docId w15:val="{8262BDED-7A06-4060-9423-4282FDE8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0709D"/>
    <w:rPr>
      <w:sz w:val="16"/>
      <w:szCs w:val="16"/>
    </w:rPr>
  </w:style>
  <w:style w:type="paragraph" w:styleId="Textocomentario">
    <w:name w:val="annotation text"/>
    <w:basedOn w:val="Normal"/>
    <w:link w:val="TextocomentarioCar"/>
    <w:uiPriority w:val="99"/>
    <w:semiHidden/>
    <w:unhideWhenUsed/>
    <w:rsid w:val="002070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709D"/>
    <w:rPr>
      <w:sz w:val="20"/>
      <w:szCs w:val="20"/>
    </w:rPr>
  </w:style>
  <w:style w:type="paragraph" w:styleId="Asuntodelcomentario">
    <w:name w:val="annotation subject"/>
    <w:basedOn w:val="Textocomentario"/>
    <w:next w:val="Textocomentario"/>
    <w:link w:val="AsuntodelcomentarioCar"/>
    <w:uiPriority w:val="99"/>
    <w:semiHidden/>
    <w:unhideWhenUsed/>
    <w:rsid w:val="0020709D"/>
    <w:rPr>
      <w:b/>
      <w:bCs/>
    </w:rPr>
  </w:style>
  <w:style w:type="character" w:customStyle="1" w:styleId="AsuntodelcomentarioCar">
    <w:name w:val="Asunto del comentario Car"/>
    <w:basedOn w:val="TextocomentarioCar"/>
    <w:link w:val="Asuntodelcomentario"/>
    <w:uiPriority w:val="99"/>
    <w:semiHidden/>
    <w:rsid w:val="0020709D"/>
    <w:rPr>
      <w:b/>
      <w:bCs/>
      <w:sz w:val="20"/>
      <w:szCs w:val="20"/>
    </w:rPr>
  </w:style>
  <w:style w:type="paragraph" w:styleId="Textodeglobo">
    <w:name w:val="Balloon Text"/>
    <w:basedOn w:val="Normal"/>
    <w:link w:val="TextodegloboCar"/>
    <w:uiPriority w:val="99"/>
    <w:semiHidden/>
    <w:unhideWhenUsed/>
    <w:rsid w:val="002070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709D"/>
    <w:rPr>
      <w:rFonts w:ascii="Segoe UI" w:hAnsi="Segoe UI" w:cs="Segoe UI"/>
      <w:sz w:val="18"/>
      <w:szCs w:val="18"/>
    </w:rPr>
  </w:style>
  <w:style w:type="paragraph" w:styleId="Encabezado">
    <w:name w:val="header"/>
    <w:basedOn w:val="Normal"/>
    <w:link w:val="EncabezadoCar"/>
    <w:uiPriority w:val="99"/>
    <w:unhideWhenUsed/>
    <w:rsid w:val="00E47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A3F"/>
  </w:style>
  <w:style w:type="paragraph" w:styleId="Piedepgina">
    <w:name w:val="footer"/>
    <w:basedOn w:val="Normal"/>
    <w:link w:val="PiedepginaCar"/>
    <w:uiPriority w:val="99"/>
    <w:unhideWhenUsed/>
    <w:rsid w:val="00E47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11575">
      <w:bodyDiv w:val="1"/>
      <w:marLeft w:val="0"/>
      <w:marRight w:val="0"/>
      <w:marTop w:val="0"/>
      <w:marBottom w:val="0"/>
      <w:divBdr>
        <w:top w:val="none" w:sz="0" w:space="0" w:color="auto"/>
        <w:left w:val="none" w:sz="0" w:space="0" w:color="auto"/>
        <w:bottom w:val="none" w:sz="0" w:space="0" w:color="auto"/>
        <w:right w:val="none" w:sz="0" w:space="0" w:color="auto"/>
      </w:divBdr>
    </w:div>
    <w:div w:id="201526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D8E1F-DB70-486A-B833-5F99988C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2513</Words>
  <Characters>13824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 paredes</dc:creator>
  <cp:lastModifiedBy>Erica Lobos</cp:lastModifiedBy>
  <cp:revision>20</cp:revision>
  <cp:lastPrinted>2019-12-28T15:29:00Z</cp:lastPrinted>
  <dcterms:created xsi:type="dcterms:W3CDTF">2019-12-27T19:01:00Z</dcterms:created>
  <dcterms:modified xsi:type="dcterms:W3CDTF">2019-12-30T20:02:00Z</dcterms:modified>
</cp:coreProperties>
</file>